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2471AB"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0302DC">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0302DC">
              <w:rPr>
                <w:spacing w:val="4"/>
                <w:sz w:val="24"/>
                <w:szCs w:val="24"/>
              </w:rPr>
              <w:t>16.09.2022</w:t>
            </w:r>
            <w:r w:rsidR="00D86C12" w:rsidRPr="00661977">
              <w:rPr>
                <w:spacing w:val="4"/>
                <w:sz w:val="24"/>
                <w:szCs w:val="24"/>
              </w:rPr>
              <w:t xml:space="preserve"> г. № </w:t>
            </w:r>
            <w:r w:rsidR="000302DC">
              <w:rPr>
                <w:spacing w:val="4"/>
                <w:sz w:val="24"/>
                <w:szCs w:val="24"/>
              </w:rPr>
              <w:t>586</w:t>
            </w:r>
            <w:r w:rsidRPr="00661977">
              <w:rPr>
                <w:spacing w:val="4"/>
                <w:sz w:val="24"/>
                <w:szCs w:val="24"/>
              </w:rPr>
              <w:t xml:space="preserve"> «</w:t>
            </w:r>
            <w:r w:rsidR="000302DC" w:rsidRPr="00033BC7">
              <w:rPr>
                <w:sz w:val="24"/>
                <w:szCs w:val="24"/>
              </w:rPr>
              <w:t>Об утверждении административного регламента предоставления муниципальной услуги «</w:t>
            </w:r>
            <w:r w:rsidR="000302DC" w:rsidRPr="00843A5F">
              <w:rPr>
                <w:sz w:val="24"/>
              </w:rPr>
              <w:t>Установление сервитута в</w:t>
            </w:r>
            <w:r w:rsidR="000302DC">
              <w:rPr>
                <w:sz w:val="24"/>
              </w:rPr>
              <w:t xml:space="preserve"> </w:t>
            </w:r>
            <w:r w:rsidR="000302DC" w:rsidRPr="00843A5F">
              <w:rPr>
                <w:spacing w:val="-67"/>
                <w:sz w:val="24"/>
              </w:rPr>
              <w:t xml:space="preserve"> </w:t>
            </w:r>
            <w:r w:rsidR="000302DC" w:rsidRPr="00843A5F">
              <w:rPr>
                <w:sz w:val="24"/>
              </w:rPr>
              <w:t>отношении</w:t>
            </w:r>
            <w:r w:rsidR="000302DC" w:rsidRPr="00843A5F">
              <w:rPr>
                <w:spacing w:val="-5"/>
                <w:sz w:val="24"/>
              </w:rPr>
              <w:t xml:space="preserve"> </w:t>
            </w:r>
            <w:r w:rsidR="000302DC" w:rsidRPr="00843A5F">
              <w:rPr>
                <w:sz w:val="24"/>
              </w:rPr>
              <w:t>земельного</w:t>
            </w:r>
            <w:r w:rsidR="000302DC" w:rsidRPr="00843A5F">
              <w:rPr>
                <w:spacing w:val="-5"/>
                <w:sz w:val="24"/>
              </w:rPr>
              <w:t xml:space="preserve"> </w:t>
            </w:r>
            <w:r w:rsidR="000302DC" w:rsidRPr="00843A5F">
              <w:rPr>
                <w:sz w:val="24"/>
              </w:rPr>
              <w:t>участка,</w:t>
            </w:r>
            <w:r w:rsidR="000302DC" w:rsidRPr="00843A5F">
              <w:rPr>
                <w:spacing w:val="-5"/>
                <w:sz w:val="24"/>
              </w:rPr>
              <w:t xml:space="preserve"> </w:t>
            </w:r>
            <w:r w:rsidR="000302DC" w:rsidRPr="00843A5F">
              <w:rPr>
                <w:sz w:val="24"/>
              </w:rPr>
              <w:t>находящегося</w:t>
            </w:r>
            <w:r w:rsidR="000302DC" w:rsidRPr="00843A5F">
              <w:rPr>
                <w:spacing w:val="-5"/>
                <w:sz w:val="24"/>
              </w:rPr>
              <w:t xml:space="preserve"> в </w:t>
            </w:r>
            <w:r w:rsidR="000302DC" w:rsidRPr="00843A5F">
              <w:rPr>
                <w:sz w:val="24"/>
              </w:rPr>
              <w:t>муниципальной собственности или государственная собственность на который</w:t>
            </w:r>
            <w:r w:rsidR="000302DC">
              <w:rPr>
                <w:sz w:val="24"/>
              </w:rPr>
              <w:t xml:space="preserve"> </w:t>
            </w:r>
            <w:r w:rsidR="000302DC" w:rsidRPr="00843A5F">
              <w:rPr>
                <w:spacing w:val="-67"/>
                <w:sz w:val="24"/>
              </w:rPr>
              <w:t xml:space="preserve"> </w:t>
            </w:r>
            <w:r w:rsidR="000302DC" w:rsidRPr="00843A5F">
              <w:rPr>
                <w:sz w:val="24"/>
              </w:rPr>
              <w:t>не</w:t>
            </w:r>
            <w:r w:rsidR="000302DC" w:rsidRPr="00843A5F">
              <w:rPr>
                <w:spacing w:val="-2"/>
                <w:sz w:val="24"/>
              </w:rPr>
              <w:t xml:space="preserve"> </w:t>
            </w:r>
            <w:r w:rsidR="000302DC" w:rsidRPr="00843A5F">
              <w:rPr>
                <w:sz w:val="24"/>
              </w:rPr>
              <w:t>разграничена»</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proofErr w:type="gramStart"/>
            <w:r w:rsidR="00687074">
              <w:rPr>
                <w:sz w:val="22"/>
                <w:szCs w:val="22"/>
              </w:rPr>
              <w:t>шт</w:t>
            </w:r>
            <w:proofErr w:type="spellEnd"/>
            <w:proofErr w:type="gram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9B4C56">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9B4C56">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9B4C56">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Pr="009B4C56" w:rsidRDefault="00D7202C" w:rsidP="007C6DDD">
      <w:pPr>
        <w:tabs>
          <w:tab w:val="left" w:pos="851"/>
        </w:tabs>
        <w:ind w:right="-1"/>
        <w:jc w:val="both"/>
        <w:rPr>
          <w:spacing w:val="4"/>
          <w:sz w:val="24"/>
          <w:szCs w:val="24"/>
        </w:rPr>
      </w:pPr>
      <w:r w:rsidRPr="009B4C56">
        <w:rPr>
          <w:sz w:val="24"/>
          <w:szCs w:val="24"/>
        </w:rPr>
        <w:t xml:space="preserve">           1.</w:t>
      </w:r>
      <w:r w:rsidR="006B7F4A" w:rsidRPr="009B4C56">
        <w:rPr>
          <w:sz w:val="24"/>
          <w:szCs w:val="24"/>
        </w:rPr>
        <w:t xml:space="preserve"> </w:t>
      </w:r>
      <w:r w:rsidR="009B4C56" w:rsidRPr="009B4C56">
        <w:rPr>
          <w:sz w:val="24"/>
          <w:szCs w:val="24"/>
        </w:rPr>
        <w:t xml:space="preserve">Внести в административный регламент утвержденный постановлением </w:t>
      </w:r>
      <w:r w:rsidR="00617400" w:rsidRPr="009B4C56">
        <w:rPr>
          <w:spacing w:val="4"/>
          <w:sz w:val="24"/>
          <w:szCs w:val="24"/>
        </w:rPr>
        <w:t>Админи</w:t>
      </w:r>
      <w:r w:rsidR="00D86C12" w:rsidRPr="009B4C56">
        <w:rPr>
          <w:spacing w:val="4"/>
          <w:sz w:val="24"/>
          <w:szCs w:val="24"/>
        </w:rPr>
        <w:t xml:space="preserve">страции Бакчарского района </w:t>
      </w:r>
      <w:r w:rsidR="00155449" w:rsidRPr="009B4C56">
        <w:rPr>
          <w:spacing w:val="4"/>
          <w:sz w:val="24"/>
          <w:szCs w:val="24"/>
        </w:rPr>
        <w:t xml:space="preserve">от </w:t>
      </w:r>
      <w:r w:rsidR="000302DC" w:rsidRPr="009B4C56">
        <w:rPr>
          <w:spacing w:val="4"/>
          <w:sz w:val="24"/>
          <w:szCs w:val="24"/>
        </w:rPr>
        <w:t>16.09.2022</w:t>
      </w:r>
      <w:r w:rsidR="00155449" w:rsidRPr="009B4C56">
        <w:rPr>
          <w:spacing w:val="4"/>
          <w:sz w:val="24"/>
          <w:szCs w:val="24"/>
        </w:rPr>
        <w:t xml:space="preserve"> г. № </w:t>
      </w:r>
      <w:r w:rsidR="000302DC" w:rsidRPr="009B4C56">
        <w:rPr>
          <w:spacing w:val="4"/>
          <w:sz w:val="24"/>
          <w:szCs w:val="24"/>
        </w:rPr>
        <w:t>586</w:t>
      </w:r>
      <w:r w:rsidR="00155449" w:rsidRPr="009B4C56">
        <w:rPr>
          <w:spacing w:val="4"/>
          <w:sz w:val="24"/>
          <w:szCs w:val="24"/>
        </w:rPr>
        <w:t xml:space="preserve"> «</w:t>
      </w:r>
      <w:r w:rsidR="000302DC" w:rsidRPr="009B4C56">
        <w:rPr>
          <w:sz w:val="24"/>
          <w:szCs w:val="24"/>
        </w:rPr>
        <w:t xml:space="preserve">Об утверждении административного регламента предоставления муниципальной услуги «Установление сервитута в </w:t>
      </w:r>
      <w:r w:rsidR="000302DC" w:rsidRPr="009B4C56">
        <w:rPr>
          <w:spacing w:val="-67"/>
          <w:sz w:val="24"/>
          <w:szCs w:val="24"/>
        </w:rPr>
        <w:t xml:space="preserve"> </w:t>
      </w:r>
      <w:r w:rsidR="000302DC" w:rsidRPr="009B4C56">
        <w:rPr>
          <w:sz w:val="24"/>
          <w:szCs w:val="24"/>
        </w:rPr>
        <w:t>отношении</w:t>
      </w:r>
      <w:r w:rsidR="000302DC" w:rsidRPr="009B4C56">
        <w:rPr>
          <w:spacing w:val="-5"/>
          <w:sz w:val="24"/>
          <w:szCs w:val="24"/>
        </w:rPr>
        <w:t xml:space="preserve"> </w:t>
      </w:r>
      <w:r w:rsidR="000302DC" w:rsidRPr="009B4C56">
        <w:rPr>
          <w:sz w:val="24"/>
          <w:szCs w:val="24"/>
        </w:rPr>
        <w:t>земельного</w:t>
      </w:r>
      <w:r w:rsidR="000302DC" w:rsidRPr="009B4C56">
        <w:rPr>
          <w:spacing w:val="-5"/>
          <w:sz w:val="24"/>
          <w:szCs w:val="24"/>
        </w:rPr>
        <w:t xml:space="preserve"> </w:t>
      </w:r>
      <w:r w:rsidR="000302DC" w:rsidRPr="009B4C56">
        <w:rPr>
          <w:sz w:val="24"/>
          <w:szCs w:val="24"/>
        </w:rPr>
        <w:t>участка,</w:t>
      </w:r>
      <w:r w:rsidR="000302DC" w:rsidRPr="009B4C56">
        <w:rPr>
          <w:spacing w:val="-5"/>
          <w:sz w:val="24"/>
          <w:szCs w:val="24"/>
        </w:rPr>
        <w:t xml:space="preserve"> </w:t>
      </w:r>
      <w:r w:rsidR="000302DC" w:rsidRPr="009B4C56">
        <w:rPr>
          <w:sz w:val="24"/>
          <w:szCs w:val="24"/>
        </w:rPr>
        <w:t>находящегося</w:t>
      </w:r>
      <w:r w:rsidR="000302DC" w:rsidRPr="009B4C56">
        <w:rPr>
          <w:spacing w:val="-5"/>
          <w:sz w:val="24"/>
          <w:szCs w:val="24"/>
        </w:rPr>
        <w:t xml:space="preserve"> в </w:t>
      </w:r>
      <w:r w:rsidR="000302DC" w:rsidRPr="009B4C56">
        <w:rPr>
          <w:sz w:val="24"/>
          <w:szCs w:val="24"/>
        </w:rPr>
        <w:t xml:space="preserve">муниципальной собственности или государственная собственность на который </w:t>
      </w:r>
      <w:r w:rsidR="000302DC" w:rsidRPr="009B4C56">
        <w:rPr>
          <w:spacing w:val="-67"/>
          <w:sz w:val="24"/>
          <w:szCs w:val="24"/>
        </w:rPr>
        <w:t xml:space="preserve"> </w:t>
      </w:r>
      <w:r w:rsidR="000302DC" w:rsidRPr="009B4C56">
        <w:rPr>
          <w:sz w:val="24"/>
          <w:szCs w:val="24"/>
        </w:rPr>
        <w:t>не</w:t>
      </w:r>
      <w:r w:rsidR="000302DC" w:rsidRPr="009B4C56">
        <w:rPr>
          <w:spacing w:val="-2"/>
          <w:sz w:val="24"/>
          <w:szCs w:val="24"/>
        </w:rPr>
        <w:t xml:space="preserve"> </w:t>
      </w:r>
      <w:r w:rsidR="000302DC" w:rsidRPr="009B4C56">
        <w:rPr>
          <w:sz w:val="24"/>
          <w:szCs w:val="24"/>
        </w:rPr>
        <w:t>разграничена»</w:t>
      </w:r>
      <w:r w:rsidR="00155449" w:rsidRPr="009B4C56">
        <w:rPr>
          <w:spacing w:val="4"/>
          <w:sz w:val="24"/>
          <w:szCs w:val="24"/>
        </w:rPr>
        <w:t>»</w:t>
      </w:r>
      <w:r w:rsidR="005F1C19" w:rsidRPr="009B4C56">
        <w:rPr>
          <w:spacing w:val="4"/>
          <w:sz w:val="24"/>
          <w:szCs w:val="24"/>
        </w:rPr>
        <w:t xml:space="preserve"> </w:t>
      </w:r>
      <w:r w:rsidRPr="009B4C56">
        <w:rPr>
          <w:spacing w:val="4"/>
          <w:sz w:val="24"/>
          <w:szCs w:val="24"/>
        </w:rPr>
        <w:t xml:space="preserve">следующие изменения: </w:t>
      </w:r>
    </w:p>
    <w:p w:rsidR="00FC19F8" w:rsidRPr="009B4C56" w:rsidRDefault="00CB2A66" w:rsidP="007C6DDD">
      <w:pPr>
        <w:tabs>
          <w:tab w:val="left" w:pos="851"/>
          <w:tab w:val="left" w:pos="1121"/>
        </w:tabs>
        <w:ind w:right="-1"/>
        <w:jc w:val="both"/>
        <w:rPr>
          <w:sz w:val="24"/>
          <w:szCs w:val="24"/>
        </w:rPr>
      </w:pPr>
      <w:r w:rsidRPr="009B4C56">
        <w:rPr>
          <w:spacing w:val="4"/>
          <w:sz w:val="24"/>
          <w:szCs w:val="24"/>
        </w:rPr>
        <w:t xml:space="preserve">          </w:t>
      </w:r>
      <w:r w:rsidR="0009029D" w:rsidRPr="009B4C56">
        <w:rPr>
          <w:spacing w:val="4"/>
          <w:sz w:val="24"/>
          <w:szCs w:val="24"/>
        </w:rPr>
        <w:t xml:space="preserve">1) </w:t>
      </w:r>
      <w:r w:rsidR="00FC19F8" w:rsidRPr="009B4C56">
        <w:rPr>
          <w:spacing w:val="4"/>
          <w:sz w:val="24"/>
          <w:szCs w:val="24"/>
        </w:rPr>
        <w:t>слова «</w:t>
      </w:r>
      <w:r w:rsidR="00FC19F8" w:rsidRPr="009B4C56">
        <w:rPr>
          <w:i/>
          <w:sz w:val="24"/>
          <w:szCs w:val="24"/>
        </w:rPr>
        <w:t>(</w:t>
      </w:r>
      <w:hyperlink r:id="rId6" w:history="1">
        <w:r w:rsidR="00FC19F8" w:rsidRPr="009B4C56">
          <w:rPr>
            <w:rStyle w:val="a7"/>
            <w:sz w:val="24"/>
            <w:szCs w:val="24"/>
          </w:rPr>
          <w:t>http://бакчармр.рф/)»</w:t>
        </w:r>
      </w:hyperlink>
      <w:r w:rsidR="00FC19F8" w:rsidRPr="009B4C56">
        <w:rPr>
          <w:sz w:val="24"/>
          <w:szCs w:val="24"/>
        </w:rPr>
        <w:t xml:space="preserve"> заменить словами</w:t>
      </w:r>
      <w:r w:rsidR="00913801" w:rsidRPr="009B4C56">
        <w:rPr>
          <w:sz w:val="24"/>
          <w:szCs w:val="24"/>
        </w:rPr>
        <w:t xml:space="preserve"> по всему тексту</w:t>
      </w:r>
      <w:r w:rsidR="00FC19F8" w:rsidRPr="009B4C56">
        <w:rPr>
          <w:sz w:val="24"/>
          <w:szCs w:val="24"/>
        </w:rPr>
        <w:t xml:space="preserve"> «</w:t>
      </w:r>
      <w:r w:rsidR="00FC19F8" w:rsidRPr="009B4C56">
        <w:rPr>
          <w:i/>
          <w:sz w:val="24"/>
          <w:szCs w:val="24"/>
        </w:rPr>
        <w:t>(</w:t>
      </w:r>
      <w:hyperlink r:id="rId7" w:history="1">
        <w:r w:rsidR="00FC19F8" w:rsidRPr="009B4C56">
          <w:rPr>
            <w:rStyle w:val="a7"/>
            <w:sz w:val="24"/>
            <w:szCs w:val="24"/>
          </w:rPr>
          <w:t>http://</w:t>
        </w:r>
        <w:proofErr w:type="spellStart"/>
        <w:r w:rsidR="00FC19F8" w:rsidRPr="009B4C56">
          <w:rPr>
            <w:rStyle w:val="a7"/>
            <w:sz w:val="24"/>
            <w:szCs w:val="24"/>
            <w:lang w:val="en-US"/>
          </w:rPr>
          <w:t>bakchar</w:t>
        </w:r>
        <w:proofErr w:type="spellEnd"/>
        <w:r w:rsidR="00FC19F8" w:rsidRPr="009B4C56">
          <w:rPr>
            <w:rStyle w:val="a7"/>
            <w:sz w:val="24"/>
            <w:szCs w:val="24"/>
          </w:rPr>
          <w:t>.</w:t>
        </w:r>
        <w:proofErr w:type="spellStart"/>
        <w:r w:rsidR="00FC19F8" w:rsidRPr="009B4C56">
          <w:rPr>
            <w:rStyle w:val="a7"/>
            <w:sz w:val="24"/>
            <w:szCs w:val="24"/>
            <w:lang w:val="en-US"/>
          </w:rPr>
          <w:t>gosuslugi</w:t>
        </w:r>
        <w:proofErr w:type="spellEnd"/>
        <w:r w:rsidR="00FC19F8" w:rsidRPr="009B4C56">
          <w:rPr>
            <w:rStyle w:val="a7"/>
            <w:sz w:val="24"/>
            <w:szCs w:val="24"/>
          </w:rPr>
          <w:t>.</w:t>
        </w:r>
        <w:proofErr w:type="spellStart"/>
        <w:r w:rsidR="00FC19F8" w:rsidRPr="009B4C56">
          <w:rPr>
            <w:rStyle w:val="a7"/>
            <w:sz w:val="24"/>
            <w:szCs w:val="24"/>
            <w:lang w:val="en-US"/>
          </w:rPr>
          <w:t>ru</w:t>
        </w:r>
        <w:proofErr w:type="spellEnd"/>
        <w:r w:rsidR="00FC19F8" w:rsidRPr="009B4C56">
          <w:rPr>
            <w:rStyle w:val="a7"/>
            <w:sz w:val="24"/>
            <w:szCs w:val="24"/>
          </w:rPr>
          <w:t>/</w:t>
        </w:r>
      </w:hyperlink>
      <w:r w:rsidR="00FC19F8" w:rsidRPr="009B4C56">
        <w:rPr>
          <w:sz w:val="24"/>
          <w:szCs w:val="24"/>
        </w:rPr>
        <w:t>)</w:t>
      </w:r>
      <w:r w:rsidR="00913801" w:rsidRPr="009B4C56">
        <w:rPr>
          <w:sz w:val="24"/>
          <w:szCs w:val="24"/>
        </w:rPr>
        <w:t>»</w:t>
      </w:r>
      <w:r w:rsidR="00FC19F8" w:rsidRPr="009B4C56">
        <w:rPr>
          <w:sz w:val="24"/>
          <w:szCs w:val="24"/>
        </w:rPr>
        <w:t>;</w:t>
      </w:r>
    </w:p>
    <w:p w:rsidR="00E10793" w:rsidRPr="009B4C56" w:rsidRDefault="00FC19F8" w:rsidP="007C6DDD">
      <w:pPr>
        <w:tabs>
          <w:tab w:val="left" w:pos="851"/>
          <w:tab w:val="left" w:pos="1121"/>
        </w:tabs>
        <w:ind w:right="-1"/>
        <w:jc w:val="both"/>
        <w:rPr>
          <w:sz w:val="24"/>
          <w:szCs w:val="24"/>
        </w:rPr>
      </w:pPr>
      <w:r w:rsidRPr="009B4C56">
        <w:rPr>
          <w:sz w:val="24"/>
          <w:szCs w:val="24"/>
        </w:rPr>
        <w:t xml:space="preserve">          2) в разделе </w:t>
      </w:r>
      <w:r w:rsidRPr="009B4C56">
        <w:rPr>
          <w:sz w:val="24"/>
          <w:szCs w:val="24"/>
          <w:lang w:val="en-US"/>
        </w:rPr>
        <w:t>II</w:t>
      </w:r>
      <w:r w:rsidRPr="009B4C56">
        <w:rPr>
          <w:sz w:val="24"/>
          <w:szCs w:val="24"/>
        </w:rPr>
        <w:t xml:space="preserve"> исключить слова </w:t>
      </w:r>
      <w:r w:rsidR="00E10793" w:rsidRPr="009B4C56">
        <w:rPr>
          <w:spacing w:val="4"/>
          <w:sz w:val="24"/>
          <w:szCs w:val="24"/>
        </w:rPr>
        <w:t>«</w:t>
      </w:r>
      <w:r w:rsidR="00E10793" w:rsidRPr="009B4C56">
        <w:rPr>
          <w:sz w:val="24"/>
          <w:szCs w:val="24"/>
        </w:rPr>
        <w:t xml:space="preserve">Нормативные правовые акты, регулирующие предоставление муниципальной услуги» </w:t>
      </w:r>
      <w:r w:rsidRPr="009B4C56">
        <w:rPr>
          <w:sz w:val="24"/>
          <w:szCs w:val="24"/>
        </w:rPr>
        <w:t>и пункт 18</w:t>
      </w:r>
      <w:r w:rsidR="00E10793" w:rsidRPr="009B4C56">
        <w:rPr>
          <w:sz w:val="24"/>
          <w:szCs w:val="24"/>
        </w:rPr>
        <w:t>;</w:t>
      </w:r>
    </w:p>
    <w:p w:rsidR="00DF7CBB" w:rsidRPr="009B4C56" w:rsidRDefault="00DF7CBB" w:rsidP="007C6DDD">
      <w:pPr>
        <w:pStyle w:val="Heading1"/>
        <w:ind w:left="0" w:right="-1"/>
        <w:jc w:val="both"/>
        <w:rPr>
          <w:sz w:val="24"/>
          <w:szCs w:val="24"/>
        </w:rPr>
      </w:pPr>
      <w:r w:rsidRPr="009B4C56">
        <w:rPr>
          <w:sz w:val="24"/>
          <w:szCs w:val="24"/>
        </w:rPr>
        <w:t xml:space="preserve">          </w:t>
      </w:r>
      <w:proofErr w:type="gramStart"/>
      <w:r w:rsidR="00FC19F8" w:rsidRPr="009B4C56">
        <w:rPr>
          <w:b w:val="0"/>
          <w:sz w:val="24"/>
          <w:szCs w:val="24"/>
        </w:rPr>
        <w:t>3</w:t>
      </w:r>
      <w:r w:rsidRPr="009B4C56">
        <w:rPr>
          <w:b w:val="0"/>
          <w:sz w:val="24"/>
          <w:szCs w:val="24"/>
        </w:rPr>
        <w:t xml:space="preserve">) </w:t>
      </w:r>
      <w:r w:rsidR="00FC19F8" w:rsidRPr="009B4C56">
        <w:rPr>
          <w:b w:val="0"/>
          <w:sz w:val="24"/>
          <w:szCs w:val="24"/>
        </w:rPr>
        <w:t xml:space="preserve">в разделе </w:t>
      </w:r>
      <w:r w:rsidR="00FC19F8" w:rsidRPr="009B4C56">
        <w:rPr>
          <w:b w:val="0"/>
          <w:sz w:val="24"/>
          <w:szCs w:val="24"/>
          <w:lang w:val="en-US"/>
        </w:rPr>
        <w:t>II</w:t>
      </w:r>
      <w:r w:rsidR="00FC19F8" w:rsidRPr="009B4C56">
        <w:rPr>
          <w:b w:val="0"/>
          <w:sz w:val="24"/>
          <w:szCs w:val="24"/>
        </w:rPr>
        <w:t xml:space="preserve"> </w:t>
      </w:r>
      <w:r w:rsidRPr="009B4C56">
        <w:rPr>
          <w:b w:val="0"/>
          <w:sz w:val="24"/>
          <w:szCs w:val="24"/>
        </w:rPr>
        <w:t>слова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9B4C56">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9B4C56">
        <w:rPr>
          <w:b w:val="0"/>
          <w:sz w:val="24"/>
          <w:szCs w:val="24"/>
        </w:rPr>
        <w:t xml:space="preserve"> в соответствии с законодательством Российской Федерации</w:t>
      </w:r>
      <w:r w:rsidR="00FC19F8" w:rsidRPr="009B4C56">
        <w:rPr>
          <w:b w:val="0"/>
          <w:sz w:val="24"/>
          <w:szCs w:val="24"/>
        </w:rPr>
        <w:t xml:space="preserve"> о социальной защите инвалидов»;</w:t>
      </w:r>
    </w:p>
    <w:p w:rsidR="00636E60" w:rsidRPr="009B4C56" w:rsidRDefault="00E10793" w:rsidP="007C6DDD">
      <w:pPr>
        <w:pStyle w:val="ac"/>
        <w:spacing w:after="0"/>
        <w:jc w:val="both"/>
        <w:rPr>
          <w:sz w:val="24"/>
          <w:szCs w:val="24"/>
        </w:rPr>
      </w:pPr>
      <w:r w:rsidRPr="009B4C56">
        <w:rPr>
          <w:sz w:val="24"/>
          <w:szCs w:val="24"/>
        </w:rPr>
        <w:t xml:space="preserve">          </w:t>
      </w:r>
      <w:r w:rsidR="00FC19F8" w:rsidRPr="009B4C56">
        <w:rPr>
          <w:sz w:val="24"/>
          <w:szCs w:val="24"/>
        </w:rPr>
        <w:t>4</w:t>
      </w:r>
      <w:r w:rsidRPr="009B4C56">
        <w:rPr>
          <w:sz w:val="24"/>
          <w:szCs w:val="24"/>
        </w:rPr>
        <w:t xml:space="preserve">) </w:t>
      </w:r>
      <w:r w:rsidR="00636E60" w:rsidRPr="009B4C56">
        <w:rPr>
          <w:sz w:val="24"/>
          <w:szCs w:val="24"/>
        </w:rPr>
        <w:t>раздел «</w:t>
      </w:r>
      <w:r w:rsidR="00636E60" w:rsidRPr="009B4C56">
        <w:rPr>
          <w:sz w:val="24"/>
          <w:szCs w:val="24"/>
          <w:lang w:val="en-US"/>
        </w:rPr>
        <w:t>IV</w:t>
      </w:r>
      <w:r w:rsidR="00636E60" w:rsidRPr="009B4C56">
        <w:rPr>
          <w:sz w:val="24"/>
          <w:szCs w:val="24"/>
        </w:rPr>
        <w:t xml:space="preserve"> Формы </w:t>
      </w:r>
      <w:proofErr w:type="gramStart"/>
      <w:r w:rsidR="00636E60" w:rsidRPr="009B4C56">
        <w:rPr>
          <w:sz w:val="24"/>
          <w:szCs w:val="24"/>
        </w:rPr>
        <w:t>контроля за</w:t>
      </w:r>
      <w:proofErr w:type="gramEnd"/>
      <w:r w:rsidR="00636E60" w:rsidRPr="009B4C56">
        <w:rPr>
          <w:sz w:val="24"/>
          <w:szCs w:val="24"/>
        </w:rPr>
        <w:t xml:space="preserve"> исполнением административного регламента» исключить;</w:t>
      </w:r>
    </w:p>
    <w:p w:rsidR="0009029D" w:rsidRDefault="00636E60" w:rsidP="007C6DDD">
      <w:pPr>
        <w:pStyle w:val="ac"/>
        <w:spacing w:after="0"/>
        <w:jc w:val="both"/>
        <w:rPr>
          <w:sz w:val="24"/>
        </w:rPr>
      </w:pPr>
      <w:r w:rsidRPr="009B4C56">
        <w:rPr>
          <w:b/>
          <w:sz w:val="24"/>
          <w:szCs w:val="24"/>
        </w:rPr>
        <w:t xml:space="preserve">        </w:t>
      </w:r>
      <w:r w:rsidR="00B15DDC">
        <w:rPr>
          <w:b/>
          <w:sz w:val="24"/>
          <w:szCs w:val="24"/>
        </w:rPr>
        <w:t xml:space="preserve">  </w:t>
      </w:r>
      <w:r w:rsidR="00FC19F8" w:rsidRPr="009B4C56">
        <w:rPr>
          <w:sz w:val="24"/>
          <w:szCs w:val="24"/>
        </w:rPr>
        <w:t>5</w:t>
      </w:r>
      <w:r w:rsidRPr="009B4C56">
        <w:rPr>
          <w:sz w:val="24"/>
          <w:szCs w:val="24"/>
        </w:rPr>
        <w:t xml:space="preserve">) </w:t>
      </w:r>
      <w:r w:rsidR="000C6CFC" w:rsidRPr="009B4C56">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w:t>
      </w:r>
      <w:r w:rsidR="000C6CFC" w:rsidRPr="00FC19F8">
        <w:rPr>
          <w:sz w:val="24"/>
        </w:rPr>
        <w:t xml:space="preserve">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9B4C56">
        <w:rPr>
          <w:sz w:val="24"/>
        </w:rPr>
        <w:t>.</w:t>
      </w:r>
    </w:p>
    <w:p w:rsidR="000C6CFC" w:rsidRDefault="0009029D" w:rsidP="007C6DDD">
      <w:pPr>
        <w:tabs>
          <w:tab w:val="left" w:pos="993"/>
        </w:tabs>
        <w:jc w:val="both"/>
        <w:rPr>
          <w:sz w:val="24"/>
          <w:szCs w:val="24"/>
        </w:rPr>
      </w:pPr>
      <w:r>
        <w:rPr>
          <w:sz w:val="24"/>
        </w:rPr>
        <w:lastRenderedPageBreak/>
        <w:t xml:space="preserve">         </w:t>
      </w:r>
      <w:r w:rsidR="00190AED">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7C6DDD">
      <w:pPr>
        <w:jc w:val="both"/>
        <w:rPr>
          <w:sz w:val="24"/>
        </w:rPr>
      </w:pPr>
      <w:r>
        <w:rPr>
          <w:sz w:val="24"/>
          <w:szCs w:val="24"/>
        </w:rPr>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9B4C56" w:rsidRDefault="009B4C56" w:rsidP="009B4C56">
      <w:pPr>
        <w:jc w:val="right"/>
      </w:pPr>
    </w:p>
    <w:p w:rsidR="009B4C56" w:rsidRDefault="009B4C56" w:rsidP="009B4C56">
      <w:pPr>
        <w:jc w:val="right"/>
      </w:pPr>
    </w:p>
    <w:p w:rsidR="009B4C56" w:rsidRDefault="009B4C56" w:rsidP="009B4C56">
      <w:pPr>
        <w:jc w:val="right"/>
      </w:pPr>
    </w:p>
    <w:p w:rsidR="009B4C56" w:rsidRDefault="009B4C56" w:rsidP="009B4C56">
      <w:pPr>
        <w:jc w:val="right"/>
      </w:pPr>
    </w:p>
    <w:p w:rsidR="009B4C56" w:rsidRDefault="009B4C56" w:rsidP="009B4C56">
      <w:pPr>
        <w:jc w:val="right"/>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11B6C"/>
    <w:rsid w:val="000177CA"/>
    <w:rsid w:val="000256CE"/>
    <w:rsid w:val="000302DC"/>
    <w:rsid w:val="00033B13"/>
    <w:rsid w:val="0004695F"/>
    <w:rsid w:val="000565A2"/>
    <w:rsid w:val="00076E03"/>
    <w:rsid w:val="00081EFA"/>
    <w:rsid w:val="000828AE"/>
    <w:rsid w:val="0009029D"/>
    <w:rsid w:val="00094F87"/>
    <w:rsid w:val="000A3B39"/>
    <w:rsid w:val="000C069D"/>
    <w:rsid w:val="000C5F60"/>
    <w:rsid w:val="000C6CFC"/>
    <w:rsid w:val="000E1F4B"/>
    <w:rsid w:val="000F24F3"/>
    <w:rsid w:val="000F3D2D"/>
    <w:rsid w:val="000F4FBE"/>
    <w:rsid w:val="001038E3"/>
    <w:rsid w:val="00130AC7"/>
    <w:rsid w:val="001332B5"/>
    <w:rsid w:val="00155449"/>
    <w:rsid w:val="00162FA0"/>
    <w:rsid w:val="00164402"/>
    <w:rsid w:val="0017102D"/>
    <w:rsid w:val="00186F97"/>
    <w:rsid w:val="001876B9"/>
    <w:rsid w:val="00190AED"/>
    <w:rsid w:val="001A5450"/>
    <w:rsid w:val="001A5A8A"/>
    <w:rsid w:val="001E192B"/>
    <w:rsid w:val="001F4452"/>
    <w:rsid w:val="00202D48"/>
    <w:rsid w:val="00214F4F"/>
    <w:rsid w:val="002471AB"/>
    <w:rsid w:val="00283DA6"/>
    <w:rsid w:val="00290975"/>
    <w:rsid w:val="002B6CC9"/>
    <w:rsid w:val="002C34E0"/>
    <w:rsid w:val="002E2021"/>
    <w:rsid w:val="002E728D"/>
    <w:rsid w:val="002F2604"/>
    <w:rsid w:val="00304696"/>
    <w:rsid w:val="0035395A"/>
    <w:rsid w:val="0036726D"/>
    <w:rsid w:val="003D13E7"/>
    <w:rsid w:val="003F3346"/>
    <w:rsid w:val="004167C7"/>
    <w:rsid w:val="00417A3A"/>
    <w:rsid w:val="00424488"/>
    <w:rsid w:val="00454293"/>
    <w:rsid w:val="004550D1"/>
    <w:rsid w:val="00485566"/>
    <w:rsid w:val="004969CA"/>
    <w:rsid w:val="004B24CB"/>
    <w:rsid w:val="004B6540"/>
    <w:rsid w:val="004C05AA"/>
    <w:rsid w:val="004D3055"/>
    <w:rsid w:val="005032B7"/>
    <w:rsid w:val="00506665"/>
    <w:rsid w:val="0052146F"/>
    <w:rsid w:val="0052530A"/>
    <w:rsid w:val="0054699D"/>
    <w:rsid w:val="00564686"/>
    <w:rsid w:val="005801A9"/>
    <w:rsid w:val="00582617"/>
    <w:rsid w:val="00594847"/>
    <w:rsid w:val="005A40B4"/>
    <w:rsid w:val="005D1186"/>
    <w:rsid w:val="005D230D"/>
    <w:rsid w:val="005F1C19"/>
    <w:rsid w:val="005F236D"/>
    <w:rsid w:val="005F7077"/>
    <w:rsid w:val="006065A8"/>
    <w:rsid w:val="00617400"/>
    <w:rsid w:val="00636E60"/>
    <w:rsid w:val="00661977"/>
    <w:rsid w:val="0068482C"/>
    <w:rsid w:val="006863C3"/>
    <w:rsid w:val="00687074"/>
    <w:rsid w:val="006B63C0"/>
    <w:rsid w:val="006B7F4A"/>
    <w:rsid w:val="006C4421"/>
    <w:rsid w:val="006C5471"/>
    <w:rsid w:val="006D3172"/>
    <w:rsid w:val="006E2141"/>
    <w:rsid w:val="006F459E"/>
    <w:rsid w:val="007020B0"/>
    <w:rsid w:val="00706087"/>
    <w:rsid w:val="007304EE"/>
    <w:rsid w:val="007601B3"/>
    <w:rsid w:val="007929EC"/>
    <w:rsid w:val="00794375"/>
    <w:rsid w:val="007C6DDD"/>
    <w:rsid w:val="007D6B3E"/>
    <w:rsid w:val="007E3EA8"/>
    <w:rsid w:val="007E6C56"/>
    <w:rsid w:val="007F42F5"/>
    <w:rsid w:val="00815EF3"/>
    <w:rsid w:val="00840281"/>
    <w:rsid w:val="00841268"/>
    <w:rsid w:val="008500CB"/>
    <w:rsid w:val="00872B37"/>
    <w:rsid w:val="00895F36"/>
    <w:rsid w:val="008B0A4F"/>
    <w:rsid w:val="008C1989"/>
    <w:rsid w:val="008C3385"/>
    <w:rsid w:val="008D4C23"/>
    <w:rsid w:val="00913801"/>
    <w:rsid w:val="0092302D"/>
    <w:rsid w:val="00943301"/>
    <w:rsid w:val="00964F0A"/>
    <w:rsid w:val="00970F66"/>
    <w:rsid w:val="00984677"/>
    <w:rsid w:val="009A4150"/>
    <w:rsid w:val="009B4C56"/>
    <w:rsid w:val="009C67E6"/>
    <w:rsid w:val="009D1C5F"/>
    <w:rsid w:val="009D3FEB"/>
    <w:rsid w:val="009F37BD"/>
    <w:rsid w:val="00A1718A"/>
    <w:rsid w:val="00A27C96"/>
    <w:rsid w:val="00A337D5"/>
    <w:rsid w:val="00A35BA0"/>
    <w:rsid w:val="00A42BFA"/>
    <w:rsid w:val="00A50016"/>
    <w:rsid w:val="00A67382"/>
    <w:rsid w:val="00AA5182"/>
    <w:rsid w:val="00AC246E"/>
    <w:rsid w:val="00AE7075"/>
    <w:rsid w:val="00B13EBC"/>
    <w:rsid w:val="00B15DDC"/>
    <w:rsid w:val="00BA1A96"/>
    <w:rsid w:val="00BC2DB8"/>
    <w:rsid w:val="00BE71AC"/>
    <w:rsid w:val="00BF4B9D"/>
    <w:rsid w:val="00C0407C"/>
    <w:rsid w:val="00C17378"/>
    <w:rsid w:val="00C3066D"/>
    <w:rsid w:val="00C57EE7"/>
    <w:rsid w:val="00C656EF"/>
    <w:rsid w:val="00C76F67"/>
    <w:rsid w:val="00CA4321"/>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56377"/>
    <w:rsid w:val="00E622D7"/>
    <w:rsid w:val="00E74048"/>
    <w:rsid w:val="00E82261"/>
    <w:rsid w:val="00ED6A6A"/>
    <w:rsid w:val="00F251CA"/>
    <w:rsid w:val="00F25E79"/>
    <w:rsid w:val="00F70258"/>
    <w:rsid w:val="00FA5AA0"/>
    <w:rsid w:val="00FB623A"/>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8</cp:revision>
  <cp:lastPrinted>2025-03-18T02:34:00Z</cp:lastPrinted>
  <dcterms:created xsi:type="dcterms:W3CDTF">2025-03-18T02:37:00Z</dcterms:created>
  <dcterms:modified xsi:type="dcterms:W3CDTF">2025-06-19T05:02:00Z</dcterms:modified>
</cp:coreProperties>
</file>