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RPr="004E45CD" w:rsidTr="00EC7847">
        <w:trPr>
          <w:trHeight w:val="1572"/>
          <w:jc w:val="right"/>
        </w:trPr>
        <w:tc>
          <w:tcPr>
            <w:tcW w:w="9852" w:type="dxa"/>
            <w:gridSpan w:val="8"/>
          </w:tcPr>
          <w:p w:rsidR="008E1345" w:rsidRPr="004E45CD" w:rsidRDefault="00FF0003">
            <w:r w:rsidRPr="004E45C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5pt;margin-top:2.65pt;width:57.8pt;height:71.8pt;z-index:1">
                  <v:imagedata r:id="rId5" o:title="ГЕРБ без короны"/>
                </v:shape>
              </w:pict>
            </w:r>
          </w:p>
        </w:tc>
      </w:tr>
      <w:tr w:rsidR="008E1345" w:rsidRPr="004E45CD" w:rsidTr="00EC7847">
        <w:trPr>
          <w:jc w:val="right"/>
        </w:trPr>
        <w:tc>
          <w:tcPr>
            <w:tcW w:w="9852" w:type="dxa"/>
            <w:gridSpan w:val="8"/>
          </w:tcPr>
          <w:p w:rsidR="008E1345" w:rsidRPr="004E45CD" w:rsidRDefault="008E1345">
            <w:pPr>
              <w:jc w:val="center"/>
            </w:pPr>
            <w:r w:rsidRPr="004E45CD"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 w:rsidRPr="004E45CD" w:rsidTr="00EC7847">
        <w:trPr>
          <w:jc w:val="right"/>
        </w:trPr>
        <w:tc>
          <w:tcPr>
            <w:tcW w:w="9852" w:type="dxa"/>
            <w:gridSpan w:val="8"/>
          </w:tcPr>
          <w:p w:rsidR="008E1345" w:rsidRPr="004E45CD" w:rsidRDefault="008E1345">
            <w:pPr>
              <w:jc w:val="center"/>
            </w:pPr>
            <w:r w:rsidRPr="004E45CD">
              <w:rPr>
                <w:sz w:val="32"/>
                <w:szCs w:val="32"/>
              </w:rPr>
              <w:t>ПОСТАНОВЛЕНИЕ</w:t>
            </w:r>
          </w:p>
        </w:tc>
      </w:tr>
      <w:tr w:rsidR="008E1345" w:rsidRPr="004E45CD" w:rsidTr="00EC7847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4E45CD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4E45CD" w:rsidRDefault="00AD0567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Pr="004E45CD" w:rsidRDefault="008E1345">
            <w:pPr>
              <w:jc w:val="right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4E45CD" w:rsidRDefault="00270C32" w:rsidP="008E1345">
            <w:pPr>
              <w:jc w:val="center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проект</w:t>
            </w:r>
          </w:p>
        </w:tc>
        <w:tc>
          <w:tcPr>
            <w:tcW w:w="1522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</w:tr>
      <w:tr w:rsidR="008E1345" w:rsidRPr="004E45CD" w:rsidTr="00EC7847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8E1345" w:rsidRPr="004E45CD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AD0567" w:rsidRPr="004E45CD" w:rsidRDefault="00EC7847" w:rsidP="000821E4">
            <w:pPr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 от 28.10.2020 № 578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 на 2021 – 2026 годы»</w:t>
            </w:r>
          </w:p>
          <w:p w:rsidR="00AD0567" w:rsidRPr="004E45CD" w:rsidRDefault="00AD0567" w:rsidP="00DE439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8E1345" w:rsidRPr="004E45CD" w:rsidRDefault="008E1345"/>
        </w:tc>
      </w:tr>
      <w:tr w:rsidR="008E1345" w:rsidRPr="004E45CD" w:rsidTr="00EC7847">
        <w:trPr>
          <w:trHeight w:val="7999"/>
          <w:jc w:val="right"/>
        </w:trPr>
        <w:tc>
          <w:tcPr>
            <w:tcW w:w="9852" w:type="dxa"/>
            <w:gridSpan w:val="8"/>
          </w:tcPr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В связи с необходимостью корректировки финансирования программных мероприятий, в соответствии с Постановлением Администрации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 от 22.12.2015 № 758 «Об утверждении Порядка принятия решений о разработке муниципальных программ муниципального образования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район», их формирования, реализации и мониторинга»,</w:t>
            </w: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ПОСТАНОВЛЯЮ:</w:t>
            </w: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1. Внести в приложение 1 постановления Администрации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 от 28.10.2020 № 578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 на 2021 – 2026 годы» следующие изменения:</w:t>
            </w:r>
          </w:p>
          <w:p w:rsidR="00EC7847" w:rsidRPr="004E45CD" w:rsidRDefault="00EC7847" w:rsidP="00EC7847">
            <w:pPr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1) В Паспорте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 на 2021 – 2026 годы» раздел «Объем и источники финансирования муниципальной программы (с детализацией по годам реализации, тыс. рублей)» изложить в следующей редакции:</w:t>
            </w:r>
          </w:p>
          <w:tbl>
            <w:tblPr>
              <w:tblW w:w="9741" w:type="dxa"/>
              <w:jc w:val="right"/>
              <w:tblLayout w:type="fixed"/>
              <w:tblLook w:val="0000"/>
            </w:tblPr>
            <w:tblGrid>
              <w:gridCol w:w="46"/>
              <w:gridCol w:w="1808"/>
              <w:gridCol w:w="2359"/>
              <w:gridCol w:w="914"/>
              <w:gridCol w:w="787"/>
              <w:gridCol w:w="850"/>
              <w:gridCol w:w="851"/>
              <w:gridCol w:w="708"/>
              <w:gridCol w:w="709"/>
              <w:gridCol w:w="247"/>
              <w:gridCol w:w="462"/>
            </w:tblGrid>
            <w:tr w:rsidR="00EC7847" w:rsidRPr="004E45CD" w:rsidTr="003968E7">
              <w:trPr>
                <w:gridAfter w:val="1"/>
                <w:wAfter w:w="462" w:type="dxa"/>
                <w:jc w:val="right"/>
              </w:trPr>
              <w:tc>
                <w:tcPr>
                  <w:tcW w:w="9279" w:type="dxa"/>
                  <w:gridSpan w:val="10"/>
                </w:tcPr>
                <w:p w:rsidR="00EC7847" w:rsidRPr="004E45CD" w:rsidRDefault="00EC7847" w:rsidP="00075E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C7847" w:rsidRPr="004E45CD" w:rsidTr="003968E7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 w:val="restart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Объем и источники финансирования муниципальной программы (с детализацией по годам реализации, тыс. рублей)</w:t>
                  </w:r>
                </w:p>
              </w:tc>
              <w:tc>
                <w:tcPr>
                  <w:tcW w:w="2359" w:type="dxa"/>
                  <w:vAlign w:val="center"/>
                </w:tcPr>
                <w:p w:rsidR="00EC7847" w:rsidRPr="004E45CD" w:rsidRDefault="00EC7847" w:rsidP="00075E08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914" w:type="dxa"/>
                  <w:vAlign w:val="center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4E45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87" w:type="dxa"/>
                  <w:vAlign w:val="center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0" w:type="dxa"/>
                  <w:vAlign w:val="center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vAlign w:val="center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709" w:type="dxa"/>
                  <w:gridSpan w:val="2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2026</w:t>
                  </w:r>
                </w:p>
              </w:tc>
            </w:tr>
            <w:tr w:rsidR="00EC7847" w:rsidRPr="004E45CD" w:rsidTr="003968E7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EC7847" w:rsidRPr="004E45CD" w:rsidRDefault="00EC7847" w:rsidP="00075E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 (по согласованию (прогноз))</w:t>
                  </w:r>
                </w:p>
              </w:tc>
              <w:tc>
                <w:tcPr>
                  <w:tcW w:w="914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87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</w:tr>
            <w:tr w:rsidR="00EC7847" w:rsidRPr="004E45CD" w:rsidTr="003968E7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EC7847" w:rsidRPr="004E45CD" w:rsidRDefault="00EC7847" w:rsidP="00075E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14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87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</w:tr>
            <w:tr w:rsidR="00EC7847" w:rsidRPr="004E45CD" w:rsidTr="003968E7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EC7847" w:rsidRPr="004E45CD" w:rsidRDefault="00EC7847" w:rsidP="00075E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местные бюджеты (по согласованию (прогноз))</w:t>
                  </w:r>
                </w:p>
              </w:tc>
              <w:tc>
                <w:tcPr>
                  <w:tcW w:w="914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465,0</w:t>
                  </w:r>
                </w:p>
              </w:tc>
              <w:tc>
                <w:tcPr>
                  <w:tcW w:w="787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850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851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708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709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115,0</w:t>
                  </w:r>
                </w:p>
              </w:tc>
              <w:tc>
                <w:tcPr>
                  <w:tcW w:w="709" w:type="dxa"/>
                  <w:gridSpan w:val="2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85,0</w:t>
                  </w:r>
                </w:p>
              </w:tc>
            </w:tr>
            <w:tr w:rsidR="00EC7847" w:rsidRPr="004E45CD" w:rsidTr="003968E7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EC7847" w:rsidRPr="004E45CD" w:rsidRDefault="00EC7847" w:rsidP="00075E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 (по согласованию (прогноз))</w:t>
                  </w:r>
                </w:p>
              </w:tc>
              <w:tc>
                <w:tcPr>
                  <w:tcW w:w="914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787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0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708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709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709" w:type="dxa"/>
                  <w:gridSpan w:val="2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10,0</w:t>
                  </w:r>
                </w:p>
              </w:tc>
            </w:tr>
            <w:tr w:rsidR="00EC7847" w:rsidRPr="004E45CD" w:rsidTr="003968E7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EC7847" w:rsidRPr="004E45CD" w:rsidRDefault="00EC7847" w:rsidP="00075E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 по источникам</w:t>
                  </w:r>
                </w:p>
              </w:tc>
              <w:tc>
                <w:tcPr>
                  <w:tcW w:w="914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525,0</w:t>
                  </w:r>
                </w:p>
              </w:tc>
              <w:tc>
                <w:tcPr>
                  <w:tcW w:w="787" w:type="dxa"/>
                </w:tcPr>
                <w:p w:rsidR="00EC7847" w:rsidRPr="004E45CD" w:rsidRDefault="00EC784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850" w:type="dxa"/>
                </w:tcPr>
                <w:p w:rsidR="00EC7847" w:rsidRPr="004E45CD" w:rsidRDefault="00EC7847" w:rsidP="00075E08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851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08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09" w:type="dxa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709" w:type="dxa"/>
                  <w:gridSpan w:val="2"/>
                </w:tcPr>
                <w:p w:rsidR="00EC7847" w:rsidRPr="004E45CD" w:rsidRDefault="00EC7847" w:rsidP="00075E08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E45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95,0</w:t>
                  </w:r>
                </w:p>
              </w:tc>
            </w:tr>
          </w:tbl>
          <w:p w:rsidR="003968E7" w:rsidRPr="004E45CD" w:rsidRDefault="003968E7" w:rsidP="003968E7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968E7" w:rsidRPr="004E45CD" w:rsidRDefault="003968E7" w:rsidP="003968E7">
            <w:pPr>
              <w:ind w:firstLine="54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2) в </w:t>
            </w:r>
            <w:r w:rsidRPr="004E45CD">
              <w:rPr>
                <w:color w:val="000000"/>
                <w:sz w:val="24"/>
                <w:szCs w:val="24"/>
              </w:rPr>
              <w:t xml:space="preserve">Главе 2 муниципальной </w:t>
            </w:r>
            <w:r w:rsidRPr="004E45CD">
              <w:rPr>
                <w:sz w:val="24"/>
                <w:szCs w:val="24"/>
              </w:rPr>
              <w:t>программы «Развитие малого и среднего предпринимательства в муниципальном образовании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 на 2021 – 2026 годы» пункт 1 таблицы «Перечень показателей цели и задач Программы  и сведения о порядке сбора информации по показателям и методике их расчета» изложить в следующей редакции:</w:t>
            </w:r>
          </w:p>
          <w:p w:rsidR="003968E7" w:rsidRPr="004E45CD" w:rsidRDefault="003968E7" w:rsidP="003968E7">
            <w:pPr>
              <w:ind w:firstLine="540"/>
              <w:jc w:val="both"/>
              <w:rPr>
                <w:sz w:val="24"/>
                <w:szCs w:val="24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28"/>
              <w:gridCol w:w="3173"/>
              <w:gridCol w:w="1310"/>
              <w:gridCol w:w="1730"/>
              <w:gridCol w:w="2791"/>
            </w:tblGrid>
            <w:tr w:rsidR="003968E7" w:rsidRPr="004E45CD" w:rsidTr="00B45533">
              <w:tc>
                <w:tcPr>
                  <w:tcW w:w="628" w:type="dxa"/>
                  <w:vAlign w:val="center"/>
                </w:tcPr>
                <w:p w:rsidR="003968E7" w:rsidRPr="004E45CD" w:rsidRDefault="003968E7" w:rsidP="00075E08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173" w:type="dxa"/>
                </w:tcPr>
                <w:p w:rsidR="003968E7" w:rsidRPr="004E45CD" w:rsidRDefault="003968E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      </w:r>
                </w:p>
                <w:p w:rsidR="003968E7" w:rsidRPr="004E45CD" w:rsidRDefault="003968E7" w:rsidP="00075E0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</w:tcPr>
                <w:p w:rsidR="003968E7" w:rsidRPr="004E45CD" w:rsidRDefault="003968E7" w:rsidP="00075E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Проценты </w:t>
                  </w:r>
                </w:p>
              </w:tc>
              <w:tc>
                <w:tcPr>
                  <w:tcW w:w="1730" w:type="dxa"/>
                  <w:vAlign w:val="center"/>
                </w:tcPr>
                <w:p w:rsidR="003968E7" w:rsidRPr="004E45CD" w:rsidRDefault="003968E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ведомственная статистика</w:t>
                  </w:r>
                </w:p>
                <w:p w:rsidR="005F7860" w:rsidRPr="004E45CD" w:rsidRDefault="005F7860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(опрос)</w:t>
                  </w:r>
                </w:p>
              </w:tc>
              <w:tc>
                <w:tcPr>
                  <w:tcW w:w="2791" w:type="dxa"/>
                </w:tcPr>
                <w:p w:rsidR="003968E7" w:rsidRPr="004E45CD" w:rsidRDefault="003968E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Ч раб</w:t>
                  </w: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* 100%,</w:t>
                  </w:r>
                </w:p>
                <w:p w:rsidR="003968E7" w:rsidRPr="004E45CD" w:rsidRDefault="003968E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 </w:t>
                  </w:r>
                  <w:proofErr w:type="spellStart"/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срп</w:t>
                  </w:r>
                  <w:proofErr w:type="spellEnd"/>
                </w:p>
                <w:p w:rsidR="003968E7" w:rsidRPr="004E45CD" w:rsidRDefault="003968E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68E7" w:rsidRPr="004E45CD" w:rsidRDefault="003968E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где Ч раб- численность работников на малых предприятиях и у индивидуальных предпринимателей </w:t>
                  </w:r>
                  <w:r w:rsidR="00615EDB"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учетом индивидуальных предпринимателей),</w:t>
                  </w:r>
                </w:p>
                <w:p w:rsidR="003968E7" w:rsidRPr="004E45CD" w:rsidRDefault="003968E7" w:rsidP="00075E0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 </w:t>
                  </w:r>
                  <w:proofErr w:type="spellStart"/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срп</w:t>
                  </w:r>
                  <w:proofErr w:type="spellEnd"/>
                  <w:r w:rsidRPr="004E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среднесписочная численность занятых работников всех предприятий и организаций района (по состоянию на 31 декабря отчетного года)</w:t>
                  </w:r>
                </w:p>
              </w:tc>
            </w:tr>
          </w:tbl>
          <w:p w:rsidR="003968E7" w:rsidRPr="004E45CD" w:rsidRDefault="003968E7" w:rsidP="003968E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3968E7" w:rsidRPr="004E45CD" w:rsidRDefault="003968E7" w:rsidP="003968E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3) пункт 3.1.1. раздел</w:t>
            </w:r>
            <w:r w:rsidR="004E1CAF" w:rsidRPr="004E45CD">
              <w:rPr>
                <w:sz w:val="24"/>
                <w:szCs w:val="24"/>
              </w:rPr>
              <w:t>а</w:t>
            </w:r>
            <w:r w:rsidRPr="004E45CD">
              <w:rPr>
                <w:sz w:val="24"/>
                <w:szCs w:val="24"/>
              </w:rPr>
              <w:t xml:space="preserve"> </w:t>
            </w:r>
            <w:r w:rsidRPr="004E45CD">
              <w:rPr>
                <w:color w:val="000000"/>
                <w:sz w:val="24"/>
                <w:szCs w:val="24"/>
              </w:rPr>
              <w:t xml:space="preserve">3.1. </w:t>
            </w:r>
            <w:r w:rsidRPr="004E45CD">
              <w:rPr>
                <w:sz w:val="24"/>
                <w:szCs w:val="24"/>
              </w:rPr>
              <w:t xml:space="preserve">Главы 3 </w:t>
            </w:r>
            <w:r w:rsidRPr="004E45CD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4E45CD">
              <w:rPr>
                <w:sz w:val="24"/>
                <w:szCs w:val="24"/>
              </w:rPr>
              <w:t>программы «Развитие малого и среднего предпринимательства в муниципальном образовании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 на 2021 – 2026 годы» дополнить абзацем следующего содержания:</w:t>
            </w:r>
          </w:p>
          <w:p w:rsidR="003968E7" w:rsidRPr="004E45CD" w:rsidRDefault="003968E7" w:rsidP="003968E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 xml:space="preserve">«Финансовая поддержка деятельности субъектов МСП и </w:t>
            </w:r>
            <w:proofErr w:type="spellStart"/>
            <w:r w:rsidRPr="004E45CD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4E45CD">
              <w:rPr>
                <w:color w:val="000000"/>
                <w:sz w:val="24"/>
                <w:szCs w:val="24"/>
              </w:rPr>
              <w:t xml:space="preserve"> граждан реализуется, в том числе путем предоставления </w:t>
            </w:r>
            <w:proofErr w:type="spellStart"/>
            <w:r w:rsidRPr="004E45CD">
              <w:rPr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4E45CD">
              <w:rPr>
                <w:color w:val="000000"/>
                <w:sz w:val="24"/>
                <w:szCs w:val="24"/>
              </w:rPr>
              <w:t xml:space="preserve"> по льготной ставке государственными </w:t>
            </w:r>
            <w:proofErr w:type="spellStart"/>
            <w:r w:rsidRPr="004E45CD">
              <w:rPr>
                <w:color w:val="000000"/>
                <w:sz w:val="24"/>
                <w:szCs w:val="24"/>
              </w:rPr>
              <w:t>микрокредитными</w:t>
            </w:r>
            <w:proofErr w:type="spellEnd"/>
            <w:r w:rsidRPr="004E45CD">
              <w:rPr>
                <w:color w:val="000000"/>
                <w:sz w:val="24"/>
                <w:szCs w:val="24"/>
              </w:rPr>
              <w:t xml:space="preserve"> организациями, доступ к гарантийной поддержке обеспечивается посредством региональных гарантийных организаций</w:t>
            </w:r>
            <w:proofErr w:type="gramStart"/>
            <w:r w:rsidRPr="004E45CD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EC7847" w:rsidRPr="004E45CD" w:rsidRDefault="003968E7" w:rsidP="00EC7847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4</w:t>
            </w:r>
            <w:r w:rsidR="00EC7847" w:rsidRPr="004E45CD">
              <w:rPr>
                <w:sz w:val="24"/>
                <w:szCs w:val="24"/>
              </w:rPr>
              <w:t xml:space="preserve">) в разделе </w:t>
            </w:r>
            <w:r w:rsidR="00EC7847" w:rsidRPr="004E45CD">
              <w:rPr>
                <w:color w:val="000000"/>
                <w:sz w:val="24"/>
                <w:szCs w:val="24"/>
              </w:rPr>
              <w:t xml:space="preserve">3.3. </w:t>
            </w:r>
            <w:r w:rsidR="00EC7847" w:rsidRPr="004E45CD">
              <w:rPr>
                <w:sz w:val="24"/>
                <w:szCs w:val="24"/>
              </w:rPr>
              <w:t xml:space="preserve">Главы 3 </w:t>
            </w:r>
            <w:r w:rsidR="00EC7847" w:rsidRPr="004E45CD">
              <w:rPr>
                <w:color w:val="000000"/>
                <w:sz w:val="24"/>
                <w:szCs w:val="24"/>
              </w:rPr>
              <w:t xml:space="preserve">муниципальной </w:t>
            </w:r>
            <w:r w:rsidR="00EC7847" w:rsidRPr="004E45CD">
              <w:rPr>
                <w:sz w:val="24"/>
                <w:szCs w:val="24"/>
              </w:rPr>
              <w:t>программы «Развитие малого и среднего предпринимательства в муниципальном образовании «</w:t>
            </w:r>
            <w:proofErr w:type="spellStart"/>
            <w:r w:rsidR="00EC7847" w:rsidRPr="004E45CD">
              <w:rPr>
                <w:sz w:val="24"/>
                <w:szCs w:val="24"/>
              </w:rPr>
              <w:t>Бакчарский</w:t>
            </w:r>
            <w:proofErr w:type="spellEnd"/>
            <w:r w:rsidR="00EC7847" w:rsidRPr="004E45CD">
              <w:rPr>
                <w:sz w:val="24"/>
                <w:szCs w:val="24"/>
              </w:rPr>
              <w:t xml:space="preserve"> район» на 2021 – 2026 годы» «</w:t>
            </w:r>
            <w:r w:rsidR="00EC7847" w:rsidRPr="004E45CD">
              <w:rPr>
                <w:color w:val="000000"/>
                <w:sz w:val="24"/>
                <w:szCs w:val="24"/>
              </w:rPr>
              <w:t>Общий объем финансирования Программы 2021-2026 гг. прогнозируется в размере</w:t>
            </w:r>
            <w:proofErr w:type="gramStart"/>
            <w:r w:rsidR="00EC7847" w:rsidRPr="004E45CD">
              <w:rPr>
                <w:color w:val="000000"/>
                <w:sz w:val="24"/>
                <w:szCs w:val="24"/>
              </w:rPr>
              <w:t>:»</w:t>
            </w:r>
            <w:proofErr w:type="gramEnd"/>
            <w:r w:rsidR="00EC7847" w:rsidRPr="004E45CD">
              <w:rPr>
                <w:color w:val="000000"/>
                <w:sz w:val="24"/>
                <w:szCs w:val="24"/>
              </w:rPr>
              <w:t xml:space="preserve"> </w:t>
            </w:r>
            <w:r w:rsidR="00EC7847" w:rsidRPr="004E45CD">
              <w:rPr>
                <w:sz w:val="24"/>
                <w:szCs w:val="24"/>
              </w:rPr>
              <w:t>изложить в следующей редакции:</w:t>
            </w: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9429" w:type="dxa"/>
              <w:tblCellSpacing w:w="5" w:type="nil"/>
              <w:tblInd w:w="217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2907"/>
              <w:gridCol w:w="992"/>
              <w:gridCol w:w="1134"/>
              <w:gridCol w:w="992"/>
              <w:gridCol w:w="851"/>
              <w:gridCol w:w="850"/>
              <w:gridCol w:w="851"/>
              <w:gridCol w:w="852"/>
            </w:tblGrid>
            <w:tr w:rsidR="00EC7847" w:rsidRPr="004E45CD" w:rsidTr="00EC7847">
              <w:trPr>
                <w:tblCellSpacing w:w="5" w:type="nil"/>
              </w:trPr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2026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Всего:</w:t>
                  </w:r>
                </w:p>
              </w:tc>
            </w:tr>
            <w:tr w:rsidR="00EC7847" w:rsidRPr="004E45CD" w:rsidTr="00EC7847">
              <w:trPr>
                <w:tblCellSpacing w:w="5" w:type="nil"/>
              </w:trPr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4E45CD">
                    <w:rPr>
                      <w:b/>
                      <w:sz w:val="24"/>
                      <w:szCs w:val="24"/>
                    </w:rPr>
                    <w:t xml:space="preserve">Всего </w:t>
                  </w:r>
                  <w:r w:rsidRPr="004E45CD">
                    <w:rPr>
                      <w:sz w:val="24"/>
                      <w:szCs w:val="24"/>
                    </w:rPr>
                    <w:t>(тыс</w:t>
                  </w:r>
                  <w:proofErr w:type="gramStart"/>
                  <w:r w:rsidRPr="004E45CD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4E45CD">
                    <w:rPr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rPr>
                      <w:b/>
                    </w:rPr>
                  </w:pPr>
                  <w:r w:rsidRPr="004E45CD">
                    <w:rPr>
                      <w:b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rPr>
                      <w:b/>
                    </w:rPr>
                  </w:pPr>
                  <w:r w:rsidRPr="004E45CD">
                    <w:rPr>
                      <w:b/>
                    </w:rPr>
                    <w:t>95,0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rPr>
                      <w:b/>
                    </w:rPr>
                  </w:pPr>
                  <w:r w:rsidRPr="004E45CD">
                    <w:rPr>
                      <w:b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rPr>
                      <w:b/>
                    </w:rPr>
                  </w:pPr>
                  <w:r w:rsidRPr="004E45CD">
                    <w:rPr>
                      <w:b/>
                    </w:rPr>
                    <w:t>70,0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rPr>
                      <w:b/>
                    </w:rPr>
                  </w:pPr>
                  <w:r w:rsidRPr="004E45CD">
                    <w:rPr>
                      <w:b/>
                    </w:rPr>
                    <w:t>125,0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rPr>
                      <w:b/>
                    </w:rPr>
                  </w:pPr>
                  <w:r w:rsidRPr="004E45CD">
                    <w:rPr>
                      <w:b/>
                    </w:rPr>
                    <w:t>95,0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rPr>
                      <w:b/>
                    </w:rPr>
                  </w:pPr>
                  <w:r w:rsidRPr="004E45CD">
                    <w:rPr>
                      <w:b/>
                    </w:rPr>
                    <w:t>525,0</w:t>
                  </w:r>
                </w:p>
              </w:tc>
            </w:tr>
            <w:tr w:rsidR="00EC7847" w:rsidRPr="004E45CD" w:rsidTr="00EC7847">
              <w:trPr>
                <w:trHeight w:val="400"/>
                <w:tblCellSpacing w:w="5" w:type="nil"/>
              </w:trPr>
              <w:tc>
                <w:tcPr>
                  <w:tcW w:w="2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 xml:space="preserve">В т.ч. по источникам             </w:t>
                  </w:r>
                  <w:r w:rsidRPr="004E45CD">
                    <w:br/>
                    <w:t xml:space="preserve">финансирования:          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</w:p>
              </w:tc>
            </w:tr>
            <w:tr w:rsidR="00EC7847" w:rsidRPr="004E45CD" w:rsidTr="00EC7847">
              <w:trPr>
                <w:tblCellSpacing w:w="5" w:type="nil"/>
              </w:trPr>
              <w:tc>
                <w:tcPr>
                  <w:tcW w:w="2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4E45CD">
                    <w:rPr>
                      <w:sz w:val="24"/>
                      <w:szCs w:val="24"/>
                    </w:rPr>
                    <w:t xml:space="preserve">Местный бюджет      </w:t>
                  </w:r>
                  <w:r w:rsidRPr="004E45CD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4E45CD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4E45CD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60,0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  <w:ind w:right="-273"/>
                  </w:pPr>
                  <w:r w:rsidRPr="004E45CD">
                    <w:t>85,0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60,0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60,0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115,0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85,0</w:t>
                  </w:r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465,0</w:t>
                  </w:r>
                </w:p>
              </w:tc>
            </w:tr>
            <w:tr w:rsidR="00EC7847" w:rsidRPr="004E45CD" w:rsidTr="00EC7847">
              <w:trPr>
                <w:trHeight w:val="379"/>
                <w:tblCellSpacing w:w="5" w:type="nil"/>
              </w:trPr>
              <w:tc>
                <w:tcPr>
                  <w:tcW w:w="2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4E45CD">
                    <w:rPr>
                      <w:sz w:val="24"/>
                      <w:szCs w:val="24"/>
                    </w:rPr>
                    <w:t xml:space="preserve">Федеральный бюджет    </w:t>
                  </w:r>
                  <w:r w:rsidRPr="004E45CD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4E45CD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4E45CD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</w:tr>
            <w:tr w:rsidR="00EC7847" w:rsidRPr="004E45CD" w:rsidTr="00EC7847">
              <w:trPr>
                <w:trHeight w:val="304"/>
                <w:tblCellSpacing w:w="5" w:type="nil"/>
              </w:trPr>
              <w:tc>
                <w:tcPr>
                  <w:tcW w:w="2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4E45CD">
                    <w:rPr>
                      <w:sz w:val="24"/>
                      <w:szCs w:val="24"/>
                    </w:rPr>
                    <w:t xml:space="preserve">Бюджет Томской области    </w:t>
                  </w:r>
                  <w:r w:rsidRPr="004E45CD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4E45CD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4E45CD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0,0</w:t>
                  </w:r>
                </w:p>
              </w:tc>
            </w:tr>
            <w:tr w:rsidR="00EC7847" w:rsidRPr="004E45CD" w:rsidTr="00EC7847">
              <w:trPr>
                <w:trHeight w:val="400"/>
                <w:tblCellSpacing w:w="5" w:type="nil"/>
              </w:trPr>
              <w:tc>
                <w:tcPr>
                  <w:tcW w:w="2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4E45CD">
                    <w:rPr>
                      <w:sz w:val="24"/>
                      <w:szCs w:val="24"/>
                    </w:rPr>
                    <w:t xml:space="preserve">Внебюджетные источники </w:t>
                  </w:r>
                  <w:r w:rsidRPr="004E45CD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4E45CD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4E45CD">
                    <w:rPr>
                      <w:color w:val="000000"/>
                      <w:sz w:val="24"/>
                      <w:szCs w:val="24"/>
                    </w:rPr>
                    <w:t>уб.)</w:t>
                  </w:r>
                  <w:r w:rsidRPr="004E45CD">
                    <w:rPr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10,0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10,0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10,0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10,0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10,0</w:t>
                  </w:r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847" w:rsidRPr="004E45CD" w:rsidRDefault="00EC7847" w:rsidP="00075E08">
                  <w:pPr>
                    <w:pStyle w:val="ConsPlusCell"/>
                  </w:pPr>
                  <w:r w:rsidRPr="004E45CD">
                    <w:t>60,0</w:t>
                  </w:r>
                </w:p>
              </w:tc>
            </w:tr>
          </w:tbl>
          <w:p w:rsidR="003968E7" w:rsidRPr="004E45CD" w:rsidRDefault="003968E7" w:rsidP="00EC784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E45CD">
              <w:rPr>
                <w:sz w:val="24"/>
                <w:szCs w:val="24"/>
              </w:rPr>
              <w:t>5) Приложение 1 к муниципальной программе «Развитие малого и среднего предпринимательства в муниципальном образовании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 на 20</w:t>
            </w:r>
            <w:r w:rsidR="00075E08" w:rsidRPr="004E45CD">
              <w:rPr>
                <w:sz w:val="24"/>
                <w:szCs w:val="24"/>
              </w:rPr>
              <w:t>21</w:t>
            </w:r>
            <w:r w:rsidRPr="004E45CD">
              <w:rPr>
                <w:sz w:val="24"/>
                <w:szCs w:val="24"/>
              </w:rPr>
              <w:t xml:space="preserve"> – 202</w:t>
            </w:r>
            <w:r w:rsidR="00075E08" w:rsidRPr="004E45CD">
              <w:rPr>
                <w:sz w:val="24"/>
                <w:szCs w:val="24"/>
              </w:rPr>
              <w:t>6</w:t>
            </w:r>
            <w:r w:rsidRPr="004E45CD">
              <w:rPr>
                <w:sz w:val="24"/>
                <w:szCs w:val="24"/>
              </w:rPr>
              <w:t xml:space="preserve"> годы» изложить в новой редакции согласно приложению 1 к настоящему постановлению.</w:t>
            </w:r>
            <w:r w:rsidRPr="004E45CD">
              <w:rPr>
                <w:sz w:val="22"/>
                <w:szCs w:val="22"/>
              </w:rPr>
              <w:t xml:space="preserve">      </w:t>
            </w: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2. Опубликовать настоящее постановление в порядке, предусмотренном Уставом муниципального образования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район».</w:t>
            </w:r>
          </w:p>
          <w:p w:rsidR="00EC7847" w:rsidRPr="004E45CD" w:rsidRDefault="00EC7847" w:rsidP="00EC784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 Настоящее Постановление вступает в силу со дня его официального опубликования.</w:t>
            </w:r>
          </w:p>
          <w:p w:rsidR="008E1345" w:rsidRPr="004E45CD" w:rsidRDefault="00EC7847" w:rsidP="00EC7847">
            <w:pPr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4. </w:t>
            </w:r>
            <w:proofErr w:type="gramStart"/>
            <w:r w:rsidRPr="004E45CD">
              <w:rPr>
                <w:sz w:val="24"/>
                <w:szCs w:val="24"/>
              </w:rPr>
              <w:t>Контроль за</w:t>
            </w:r>
            <w:proofErr w:type="gramEnd"/>
            <w:r w:rsidRPr="004E45CD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района по экономическим вопросам – Иванову Ю.И.</w:t>
            </w:r>
          </w:p>
        </w:tc>
      </w:tr>
      <w:tr w:rsidR="008E1345" w:rsidRPr="004E45CD" w:rsidTr="00EC7847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4E45CD" w:rsidRDefault="008E1345">
            <w:pPr>
              <w:jc w:val="center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lastRenderedPageBreak/>
              <w:t>Глав</w:t>
            </w:r>
            <w:r w:rsidR="000A4260" w:rsidRPr="004E45CD">
              <w:rPr>
                <w:sz w:val="28"/>
                <w:szCs w:val="28"/>
              </w:rPr>
              <w:t>а</w:t>
            </w:r>
            <w:r w:rsidRPr="004E45C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4E45CD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8E1345" w:rsidRPr="004E45CD" w:rsidRDefault="000A4260">
            <w:pPr>
              <w:jc w:val="center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С.П.</w:t>
            </w:r>
            <w:r w:rsidR="001751D2" w:rsidRPr="004E45CD">
              <w:rPr>
                <w:sz w:val="28"/>
                <w:szCs w:val="28"/>
              </w:rPr>
              <w:t xml:space="preserve"> </w:t>
            </w:r>
            <w:proofErr w:type="spellStart"/>
            <w:r w:rsidRPr="004E45CD">
              <w:rPr>
                <w:sz w:val="28"/>
                <w:szCs w:val="28"/>
              </w:rPr>
              <w:t>Ревера</w:t>
            </w:r>
            <w:proofErr w:type="spellEnd"/>
          </w:p>
        </w:tc>
      </w:tr>
      <w:tr w:rsidR="008E1345" w:rsidRPr="004E45CD" w:rsidTr="00EC7847">
        <w:trPr>
          <w:jc w:val="right"/>
        </w:trPr>
        <w:tc>
          <w:tcPr>
            <w:tcW w:w="9852" w:type="dxa"/>
            <w:gridSpan w:val="8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</w:tr>
    </w:tbl>
    <w:p w:rsidR="003968E7" w:rsidRPr="004E45CD" w:rsidRDefault="003968E7">
      <w:pPr>
        <w:sectPr w:rsidR="003968E7" w:rsidRPr="004E45CD" w:rsidSect="003F45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B81" w:rsidRPr="004E45CD" w:rsidRDefault="00A54788" w:rsidP="00B93B8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E45CD">
        <w:rPr>
          <w:sz w:val="24"/>
          <w:szCs w:val="24"/>
        </w:rPr>
        <w:lastRenderedPageBreak/>
        <w:t>П</w:t>
      </w:r>
      <w:r w:rsidR="00B93B81" w:rsidRPr="004E45CD">
        <w:rPr>
          <w:sz w:val="24"/>
          <w:szCs w:val="24"/>
        </w:rPr>
        <w:t>риложение 1</w:t>
      </w:r>
    </w:p>
    <w:p w:rsidR="00B93B81" w:rsidRPr="004E45CD" w:rsidRDefault="00B93B81" w:rsidP="00B93B8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E45CD">
        <w:rPr>
          <w:sz w:val="24"/>
          <w:szCs w:val="24"/>
        </w:rPr>
        <w:t xml:space="preserve"> к Постановлению Администрации </w:t>
      </w:r>
      <w:proofErr w:type="spellStart"/>
      <w:r w:rsidRPr="004E45CD">
        <w:rPr>
          <w:sz w:val="24"/>
          <w:szCs w:val="24"/>
        </w:rPr>
        <w:t>Бакчарского</w:t>
      </w:r>
      <w:proofErr w:type="spellEnd"/>
      <w:r w:rsidRPr="004E45CD">
        <w:rPr>
          <w:sz w:val="24"/>
          <w:szCs w:val="24"/>
        </w:rPr>
        <w:t xml:space="preserve"> района от       </w:t>
      </w:r>
      <w:proofErr w:type="gramStart"/>
      <w:r w:rsidRPr="004E45CD">
        <w:rPr>
          <w:sz w:val="24"/>
          <w:szCs w:val="24"/>
        </w:rPr>
        <w:t>г</w:t>
      </w:r>
      <w:proofErr w:type="gramEnd"/>
      <w:r w:rsidRPr="004E45CD">
        <w:rPr>
          <w:sz w:val="24"/>
          <w:szCs w:val="24"/>
        </w:rPr>
        <w:t xml:space="preserve">. №  </w:t>
      </w:r>
    </w:p>
    <w:p w:rsidR="00B93B81" w:rsidRPr="004E45CD" w:rsidRDefault="00B93B81" w:rsidP="00EC784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7847" w:rsidRPr="004E45CD" w:rsidRDefault="00EC7847" w:rsidP="00EC784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45CD">
        <w:rPr>
          <w:sz w:val="24"/>
          <w:szCs w:val="24"/>
        </w:rPr>
        <w:t xml:space="preserve"> </w:t>
      </w:r>
      <w:r w:rsidR="004E1CAF" w:rsidRPr="004E45CD">
        <w:rPr>
          <w:sz w:val="24"/>
          <w:szCs w:val="24"/>
        </w:rPr>
        <w:t>«</w:t>
      </w:r>
      <w:r w:rsidRPr="004E45CD">
        <w:rPr>
          <w:sz w:val="24"/>
          <w:szCs w:val="24"/>
        </w:rPr>
        <w:t>Приложение 1</w:t>
      </w:r>
    </w:p>
    <w:p w:rsidR="00EC7847" w:rsidRPr="004E45CD" w:rsidRDefault="00EC7847" w:rsidP="00EC78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E45CD">
        <w:rPr>
          <w:sz w:val="24"/>
          <w:szCs w:val="24"/>
        </w:rPr>
        <w:t xml:space="preserve">                                                                                                                                              к муниципальной программе «Развитие малого и среднего</w:t>
      </w:r>
    </w:p>
    <w:p w:rsidR="00EC7847" w:rsidRPr="004E45CD" w:rsidRDefault="00EC7847" w:rsidP="00EC78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E45CD">
        <w:rPr>
          <w:sz w:val="24"/>
          <w:szCs w:val="24"/>
        </w:rPr>
        <w:t xml:space="preserve">                              предпринимательства в муниципальном образовании</w:t>
      </w:r>
    </w:p>
    <w:p w:rsidR="00EC7847" w:rsidRPr="004E45CD" w:rsidRDefault="00EC7847" w:rsidP="00EC78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E45CD">
        <w:rPr>
          <w:sz w:val="24"/>
          <w:szCs w:val="24"/>
        </w:rPr>
        <w:t>«</w:t>
      </w:r>
      <w:proofErr w:type="spellStart"/>
      <w:r w:rsidRPr="004E45CD">
        <w:rPr>
          <w:sz w:val="24"/>
          <w:szCs w:val="24"/>
        </w:rPr>
        <w:t>Бакчарский</w:t>
      </w:r>
      <w:proofErr w:type="spellEnd"/>
      <w:r w:rsidRPr="004E45CD">
        <w:rPr>
          <w:sz w:val="24"/>
          <w:szCs w:val="24"/>
        </w:rPr>
        <w:t xml:space="preserve"> район» на 2021-2026 годы»</w:t>
      </w:r>
    </w:p>
    <w:p w:rsidR="00EC7847" w:rsidRPr="004E45CD" w:rsidRDefault="00EC7847" w:rsidP="00EC78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C7847" w:rsidRPr="004E45CD" w:rsidRDefault="00EC7847" w:rsidP="00EC7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45CD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</w:t>
      </w:r>
    </w:p>
    <w:p w:rsidR="00EC7847" w:rsidRPr="004E45CD" w:rsidRDefault="00EC7847" w:rsidP="00EC78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5CD">
        <w:rPr>
          <w:rFonts w:ascii="Times New Roman" w:hAnsi="Times New Roman" w:cs="Times New Roman"/>
          <w:sz w:val="24"/>
          <w:szCs w:val="24"/>
        </w:rPr>
        <w:t>«</w:t>
      </w:r>
      <w:r w:rsidRPr="004E45CD">
        <w:rPr>
          <w:rFonts w:ascii="Times New Roman" w:hAnsi="Times New Roman" w:cs="Times New Roman"/>
          <w:b/>
          <w:sz w:val="24"/>
          <w:szCs w:val="24"/>
          <w:u w:val="single"/>
        </w:rPr>
        <w:t>Развитие малого и среднего предпринимательства в муниципальном образовании «</w:t>
      </w:r>
      <w:proofErr w:type="spellStart"/>
      <w:r w:rsidRPr="004E45CD">
        <w:rPr>
          <w:rFonts w:ascii="Times New Roman" w:hAnsi="Times New Roman" w:cs="Times New Roman"/>
          <w:b/>
          <w:sz w:val="24"/>
          <w:szCs w:val="24"/>
          <w:u w:val="single"/>
        </w:rPr>
        <w:t>Бакчарский</w:t>
      </w:r>
      <w:proofErr w:type="spellEnd"/>
      <w:r w:rsidRPr="004E45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район» </w:t>
      </w:r>
    </w:p>
    <w:p w:rsidR="00EC7847" w:rsidRPr="004E45CD" w:rsidRDefault="00EC7847" w:rsidP="00EC78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CD">
        <w:rPr>
          <w:rFonts w:ascii="Times New Roman" w:hAnsi="Times New Roman" w:cs="Times New Roman"/>
          <w:b/>
          <w:sz w:val="24"/>
          <w:szCs w:val="24"/>
          <w:u w:val="single"/>
        </w:rPr>
        <w:t>на 2021-2026 годы»</w:t>
      </w:r>
    </w:p>
    <w:p w:rsidR="00EC7847" w:rsidRPr="004E45CD" w:rsidRDefault="00EC7847" w:rsidP="00EC7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45CD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EC7847" w:rsidRPr="004E45CD" w:rsidRDefault="00EC7847" w:rsidP="00EC78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095"/>
        <w:gridCol w:w="43"/>
        <w:gridCol w:w="1037"/>
        <w:gridCol w:w="1276"/>
        <w:gridCol w:w="1170"/>
        <w:gridCol w:w="1053"/>
        <w:gridCol w:w="1170"/>
        <w:gridCol w:w="1053"/>
        <w:gridCol w:w="2198"/>
        <w:gridCol w:w="1665"/>
      </w:tblGrid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NN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пп</w:t>
            </w:r>
            <w:proofErr w:type="spellEnd"/>
            <w:r w:rsidRPr="004E45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Наименование 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цели, задачи,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мероприятия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муниципальной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программы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Объем 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финанси</w:t>
            </w:r>
            <w:proofErr w:type="spellEnd"/>
            <w:r w:rsidRPr="004E45CD">
              <w:rPr>
                <w:sz w:val="24"/>
                <w:szCs w:val="24"/>
              </w:rPr>
              <w:t>-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рования</w:t>
            </w:r>
            <w:proofErr w:type="spellEnd"/>
            <w:r w:rsidRPr="004E45CD">
              <w:rPr>
                <w:sz w:val="24"/>
                <w:szCs w:val="24"/>
              </w:rPr>
              <w:t xml:space="preserve">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E45CD">
              <w:rPr>
                <w:sz w:val="24"/>
                <w:szCs w:val="24"/>
              </w:rPr>
              <w:t xml:space="preserve">(тыс.   </w:t>
            </w:r>
            <w:proofErr w:type="gramEnd"/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рублей) </w:t>
            </w:r>
          </w:p>
        </w:tc>
        <w:tc>
          <w:tcPr>
            <w:tcW w:w="4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В том числе за счет средств   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 xml:space="preserve">Участники мероприятий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Ожидаемый эффект (социально-экономический)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феде</w:t>
            </w:r>
            <w:proofErr w:type="spellEnd"/>
            <w:r w:rsidRPr="004E45CD">
              <w:rPr>
                <w:sz w:val="24"/>
                <w:szCs w:val="24"/>
              </w:rPr>
              <w:t xml:space="preserve">- 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рального</w:t>
            </w:r>
            <w:proofErr w:type="spellEnd"/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област</w:t>
            </w:r>
            <w:proofErr w:type="spellEnd"/>
            <w:r w:rsidRPr="004E45CD">
              <w:rPr>
                <w:sz w:val="24"/>
                <w:szCs w:val="24"/>
              </w:rPr>
              <w:t>-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ного</w:t>
            </w:r>
            <w:proofErr w:type="spellEnd"/>
            <w:r w:rsidRPr="004E45CD">
              <w:rPr>
                <w:sz w:val="24"/>
                <w:szCs w:val="24"/>
              </w:rPr>
              <w:t xml:space="preserve"> 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бюджета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местных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бюджетов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внебюд</w:t>
            </w:r>
            <w:proofErr w:type="spellEnd"/>
            <w:r w:rsidRPr="004E45CD">
              <w:rPr>
                <w:sz w:val="24"/>
                <w:szCs w:val="24"/>
              </w:rPr>
              <w:t>-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жетных</w:t>
            </w:r>
            <w:proofErr w:type="spellEnd"/>
            <w:r w:rsidRPr="004E45CD">
              <w:rPr>
                <w:sz w:val="24"/>
                <w:szCs w:val="24"/>
              </w:rPr>
              <w:t xml:space="preserve">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источ</w:t>
            </w:r>
            <w:proofErr w:type="spellEnd"/>
            <w:r w:rsidRPr="004E45CD">
              <w:rPr>
                <w:sz w:val="24"/>
                <w:szCs w:val="24"/>
              </w:rPr>
              <w:t xml:space="preserve">-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45CD">
              <w:rPr>
                <w:sz w:val="24"/>
                <w:szCs w:val="24"/>
              </w:rPr>
              <w:t>ников</w:t>
            </w:r>
            <w:proofErr w:type="spellEnd"/>
            <w:r w:rsidRPr="004E45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3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7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8   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9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   10     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Цель муниципальной программы: Создание благоприятных условий для сохранения и развития субъектов малого и среднего предпринимательства на территории </w:t>
            </w:r>
            <w:proofErr w:type="spellStart"/>
            <w:r w:rsidRPr="004E45CD">
              <w:rPr>
                <w:b/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b/>
                <w:sz w:val="24"/>
                <w:szCs w:val="24"/>
              </w:rPr>
              <w:t xml:space="preserve"> района                                                             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147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Задача 1. Создание благоприятных условий для развития бизнеса                                                                                     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Проведение семинаров, круглых столов, конференций по вопросам ведения предпринимательской деятельности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</w:t>
            </w:r>
            <w:r w:rsidRPr="004E45CD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Не менее 4 мероприятий в год</w:t>
            </w:r>
          </w:p>
        </w:tc>
      </w:tr>
      <w:tr w:rsidR="00EC7847" w:rsidRPr="004E45CD" w:rsidTr="00075E08">
        <w:trPr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9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Содействие в получении субъектами </w:t>
            </w:r>
            <w:r w:rsidRPr="004E45CD">
              <w:rPr>
                <w:sz w:val="24"/>
                <w:szCs w:val="24"/>
              </w:rPr>
              <w:lastRenderedPageBreak/>
              <w:t>малого и среднего предпринимательства господдержки в виде субсидирования процентной ставки по кредитам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lastRenderedPageBreak/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 xml:space="preserve">Возмещение </w:t>
            </w:r>
            <w:r w:rsidRPr="004E45CD">
              <w:rPr>
                <w:sz w:val="24"/>
                <w:szCs w:val="24"/>
              </w:rPr>
              <w:lastRenderedPageBreak/>
              <w:t>части затрат на производство</w:t>
            </w:r>
          </w:p>
        </w:tc>
      </w:tr>
      <w:tr w:rsidR="00EC7847" w:rsidRPr="004E45CD" w:rsidTr="00075E08">
        <w:trPr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0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E45CD">
              <w:rPr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E45CD">
              <w:rPr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572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 xml:space="preserve">Оказание консультационной и методической помощи, разработка бизнес-планов для участия в конкурсах предпринимательских проектов </w:t>
            </w:r>
            <w:r w:rsidRPr="004E45CD">
              <w:rPr>
                <w:sz w:val="24"/>
                <w:szCs w:val="24"/>
              </w:rPr>
              <w:t xml:space="preserve">субъектам малого и среднего бизнеса </w:t>
            </w:r>
            <w:r w:rsidRPr="004E45CD">
              <w:rPr>
                <w:color w:val="000000"/>
                <w:sz w:val="24"/>
                <w:szCs w:val="24"/>
              </w:rPr>
              <w:t>и ф</w:t>
            </w:r>
            <w:r w:rsidRPr="004E45CD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6" w:history="1">
              <w:r w:rsidRPr="004E45CD">
                <w:rPr>
                  <w:sz w:val="24"/>
                  <w:szCs w:val="24"/>
                </w:rPr>
                <w:t>режим</w:t>
              </w:r>
            </w:hyperlink>
            <w:r w:rsidRPr="004E45CD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НП «</w:t>
            </w:r>
            <w:proofErr w:type="spellStart"/>
            <w:r w:rsidRPr="004E45CD">
              <w:rPr>
                <w:color w:val="000000"/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color w:val="000000"/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Создание условий для ведения бизнеса</w:t>
            </w:r>
          </w:p>
        </w:tc>
      </w:tr>
      <w:tr w:rsidR="00EC7847" w:rsidRPr="004E45CD" w:rsidTr="00075E08">
        <w:trPr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70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1.4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5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Участие в заседаниях экспертной комиссии по рассмотрению бизнес-планов потенциальных предпринимателей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согласованию),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Центр занятости населения (по согласованию), Главы сельских поселений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Отбор лучших предпринимательских проектов</w:t>
            </w:r>
          </w:p>
        </w:tc>
      </w:tr>
      <w:tr w:rsidR="00EC7847" w:rsidRPr="004E45CD" w:rsidTr="00075E08">
        <w:trPr>
          <w:trHeight w:val="6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67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6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70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5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Участие в заседаниях межведомственной комиссии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по  оказанию  государственной  социальной  помощи  субъектам малого и среднего бизнеса </w:t>
            </w:r>
            <w:r w:rsidRPr="004E45CD">
              <w:rPr>
                <w:color w:val="000000"/>
                <w:sz w:val="24"/>
                <w:szCs w:val="24"/>
              </w:rPr>
              <w:t>и ф</w:t>
            </w:r>
            <w:r w:rsidRPr="004E45CD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7" w:history="1">
              <w:r w:rsidRPr="004E45CD">
                <w:rPr>
                  <w:sz w:val="24"/>
                  <w:szCs w:val="24"/>
                </w:rPr>
                <w:t>режим</w:t>
              </w:r>
            </w:hyperlink>
            <w:r w:rsidRPr="004E45CD">
              <w:rPr>
                <w:sz w:val="24"/>
                <w:szCs w:val="24"/>
              </w:rPr>
              <w:t xml:space="preserve"> «Налог на профессиональный доход» на  основании  социального  контракта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согласованию),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Центр социальной поддержки населения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Отбор лучших предпринимательских проектов</w:t>
            </w:r>
          </w:p>
        </w:tc>
      </w:tr>
      <w:tr w:rsidR="00EC7847" w:rsidRPr="004E45CD" w:rsidTr="00075E08">
        <w:trPr>
          <w:trHeight w:val="6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67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6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70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1.6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6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Принятие нормативно-правовых актов органов местного самоуправления в целях правового обеспечения предпринимательской деятельности (по мере необходимости)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EC7847" w:rsidRPr="004E45CD" w:rsidTr="00075E08">
        <w:trPr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2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1.7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225,0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225,0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9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Предоставление субсидий для финансирования стартующего бизнеса на конкурсной основе (проведение районного конкурса предпринимательских проектов «Новая смена»)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Отдел социально-экономического развития села Администрации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 - получателей финансовой поддержки, </w:t>
            </w:r>
            <w:r w:rsidRPr="004E45CD">
              <w:rPr>
                <w:sz w:val="24"/>
                <w:szCs w:val="24"/>
              </w:rPr>
              <w:lastRenderedPageBreak/>
              <w:t xml:space="preserve">единиц  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2021 – 1;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 – 2;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 – 1;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 – 1;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2025 – 2;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2026 – 2.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Количество созданных новых рабочих мест, единиц: 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2021 – 1;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 – 2;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 – 1;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 – 1;</w:t>
            </w:r>
          </w:p>
          <w:p w:rsidR="00615EDB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2025 – 2;</w:t>
            </w:r>
          </w:p>
          <w:p w:rsidR="00EC7847" w:rsidRPr="004E45CD" w:rsidRDefault="00615EDB" w:rsidP="00615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2026 – 2.</w:t>
            </w:r>
          </w:p>
        </w:tc>
      </w:tr>
      <w:tr w:rsidR="00EC7847" w:rsidRPr="004E45CD" w:rsidTr="00075E08">
        <w:trPr>
          <w:trHeight w:val="2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4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Проведение конкурса на лучшее новогоднее оформление и праздничное обслуживание покупателей между предприятиями торговли, общественного питания и бытового обслуживания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Стимулирование развития МСП в сферах торговли, общественного питания и бытового обслуживания</w:t>
            </w:r>
          </w:p>
        </w:tc>
      </w:tr>
      <w:tr w:rsidR="00EC7847" w:rsidRPr="004E45CD" w:rsidTr="00075E08">
        <w:trPr>
          <w:trHeight w:val="372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17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9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1.9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7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Проведение районных ярмарок с привлечением субъектов малого и среднего бизнеса </w:t>
            </w:r>
            <w:r w:rsidRPr="004E45CD">
              <w:rPr>
                <w:color w:val="000000"/>
                <w:sz w:val="24"/>
                <w:szCs w:val="24"/>
              </w:rPr>
              <w:t>и ф</w:t>
            </w:r>
            <w:r w:rsidRPr="004E45CD">
              <w:rPr>
                <w:sz w:val="24"/>
                <w:szCs w:val="24"/>
              </w:rPr>
              <w:t xml:space="preserve">изических лиц, не являющихся индивидуальными предпринимателями и </w:t>
            </w:r>
            <w:r w:rsidRPr="004E45CD">
              <w:rPr>
                <w:sz w:val="24"/>
                <w:szCs w:val="24"/>
              </w:rPr>
              <w:lastRenderedPageBreak/>
              <w:t xml:space="preserve">применяющими специальный налоговый </w:t>
            </w:r>
            <w:hyperlink r:id="rId8" w:history="1">
              <w:r w:rsidRPr="004E45CD">
                <w:rPr>
                  <w:sz w:val="24"/>
                  <w:szCs w:val="24"/>
                </w:rPr>
                <w:t>режим</w:t>
              </w:r>
            </w:hyperlink>
            <w:r w:rsidRPr="004E45CD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</w:t>
            </w:r>
            <w:r w:rsidRPr="004E45CD">
              <w:rPr>
                <w:sz w:val="24"/>
                <w:szCs w:val="24"/>
              </w:rPr>
              <w:lastRenderedPageBreak/>
              <w:t>согласованию),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 xml:space="preserve">Не менее 9 в </w:t>
            </w:r>
            <w:r w:rsidRPr="004E45CD">
              <w:rPr>
                <w:iCs/>
                <w:sz w:val="24"/>
                <w:szCs w:val="24"/>
              </w:rPr>
              <w:t xml:space="preserve">год, продвижение продукции, производимой </w:t>
            </w:r>
            <w:r w:rsidRPr="004E45CD">
              <w:rPr>
                <w:iCs/>
                <w:sz w:val="24"/>
                <w:szCs w:val="24"/>
              </w:rPr>
              <w:lastRenderedPageBreak/>
              <w:t>местными МСП</w:t>
            </w:r>
          </w:p>
        </w:tc>
      </w:tr>
      <w:tr w:rsidR="00EC7847" w:rsidRPr="004E45CD" w:rsidTr="00075E08">
        <w:trPr>
          <w:trHeight w:val="35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1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1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51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1.10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10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Представление сведений в целях ведения единого реестра субъектов малого  и среднего предпринимательства – получателей поддержки в уполномоченный орган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Актуализация информации о МСП  и анализ тенденций развития МСП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1.11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11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Внедрение успешных муниципальных практик на территории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Развитие предпринимательства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1.12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12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</w:t>
            </w:r>
            <w:r w:rsidRPr="004E45CD">
              <w:rPr>
                <w:color w:val="000000"/>
                <w:sz w:val="24"/>
                <w:szCs w:val="24"/>
              </w:rPr>
              <w:t>и ф</w:t>
            </w:r>
            <w:r w:rsidRPr="004E45CD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9" w:history="1">
              <w:r w:rsidRPr="004E45CD">
                <w:rPr>
                  <w:sz w:val="24"/>
                  <w:szCs w:val="24"/>
                </w:rPr>
                <w:t>режим</w:t>
              </w:r>
            </w:hyperlink>
            <w:r w:rsidRPr="004E45CD">
              <w:rPr>
                <w:sz w:val="24"/>
                <w:szCs w:val="24"/>
              </w:rPr>
              <w:t xml:space="preserve"> «Налог на профессиональный доход», а также организациям, образующим инфраструктуру поддержки субъектов малого и среднего предпринимательства (при </w:t>
            </w:r>
            <w:r w:rsidRPr="004E45CD">
              <w:rPr>
                <w:sz w:val="24"/>
                <w:szCs w:val="24"/>
              </w:rPr>
              <w:lastRenderedPageBreak/>
              <w:t>обращении)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Отдел имущественных отношений Администрации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13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Оказание информационной, консультационной, финансовой, в том числе гарантийной, и иной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EC7847" w:rsidRPr="004E45CD" w:rsidRDefault="00EC7847" w:rsidP="00075E08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согласованию), Центр «Мой бизнес» (по согласованию), МКК Фонд  </w:t>
            </w:r>
            <w:proofErr w:type="spellStart"/>
            <w:r w:rsidRPr="004E45CD">
              <w:rPr>
                <w:sz w:val="24"/>
                <w:szCs w:val="24"/>
              </w:rPr>
              <w:t>микрофинансирования</w:t>
            </w:r>
            <w:proofErr w:type="spellEnd"/>
            <w:r w:rsidRPr="004E45CD">
              <w:rPr>
                <w:sz w:val="24"/>
                <w:szCs w:val="24"/>
              </w:rPr>
              <w:t xml:space="preserve"> Томской области  (по согласованию), ООО «Гарантийный фонд Томской области»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Стимулирование регистрации физических лиц в качестве </w:t>
            </w:r>
            <w:proofErr w:type="spellStart"/>
            <w:r w:rsidRPr="004E45CD">
              <w:rPr>
                <w:sz w:val="24"/>
                <w:szCs w:val="24"/>
              </w:rPr>
              <w:t>самозанятых</w:t>
            </w:r>
            <w:proofErr w:type="spellEnd"/>
            <w:r w:rsidRPr="004E45CD">
              <w:rPr>
                <w:sz w:val="24"/>
                <w:szCs w:val="24"/>
              </w:rPr>
              <w:t xml:space="preserve"> граждан 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1.14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E45CD">
              <w:rPr>
                <w:bCs/>
                <w:sz w:val="24"/>
                <w:szCs w:val="24"/>
              </w:rPr>
              <w:t>Мероприятие 14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E45CD">
              <w:rPr>
                <w:bCs/>
                <w:sz w:val="24"/>
                <w:szCs w:val="24"/>
              </w:rPr>
              <w:t xml:space="preserve">Предоставление производителям товаров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(при обращении)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Отдел имущественных отношений Администрации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115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Итого по     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lastRenderedPageBreak/>
              <w:t xml:space="preserve">задаче 1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E45CD">
              <w:rPr>
                <w:b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225,0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E45CD">
              <w:rPr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25,0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50,0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147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Задача 2. Повышение </w:t>
            </w:r>
            <w:proofErr w:type="gramStart"/>
            <w:r w:rsidRPr="004E45CD">
              <w:rPr>
                <w:b/>
                <w:sz w:val="24"/>
                <w:szCs w:val="24"/>
              </w:rPr>
              <w:t>эффективности деятельности инфраструктуры поддержки предпринимательства</w:t>
            </w:r>
            <w:proofErr w:type="gramEnd"/>
            <w:r w:rsidRPr="004E45CD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2.1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3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Содействие деятельности организациям и объединениям, выражающим интересы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Содействие не менее 1 организации в год</w:t>
            </w:r>
          </w:p>
        </w:tc>
      </w:tr>
      <w:tr w:rsidR="00EC7847" w:rsidRPr="004E45CD" w:rsidTr="00075E08">
        <w:trPr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4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2.2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722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Содействие организации работы и развитию 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Центр поддержки предпринимательства» (финансовое обеспечение (возмещение) затрат на коммунальные услуги, услуги связи, оснащение оборудованием и офисной мебелью, обновление информационных систем и приобретение программного обеспечения и других затрат, связанных с развитием и обеспечением деятельности ЦПП)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proofErr w:type="spellStart"/>
            <w:r w:rsidRPr="004E45CD">
              <w:rPr>
                <w:color w:val="000000"/>
                <w:sz w:val="24"/>
                <w:szCs w:val="24"/>
              </w:rPr>
              <w:t>восользовавшихся</w:t>
            </w:r>
            <w:proofErr w:type="spellEnd"/>
            <w:r w:rsidRPr="004E45CD">
              <w:rPr>
                <w:color w:val="000000"/>
                <w:sz w:val="24"/>
                <w:szCs w:val="24"/>
              </w:rPr>
              <w:t xml:space="preserve"> услугами муниципальных центров поддержки предпринимательства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45CD">
              <w:rPr>
                <w:color w:val="000000"/>
                <w:sz w:val="24"/>
                <w:szCs w:val="24"/>
              </w:rPr>
              <w:t>(115 единиц ежегодно)</w:t>
            </w:r>
          </w:p>
        </w:tc>
      </w:tr>
      <w:tr w:rsidR="00EC7847" w:rsidRPr="004E45CD" w:rsidTr="00075E08">
        <w:trPr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71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2.3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Ведение инвестиционного паспорта района, ежегодное его обновление, ведение реестра предпринимательских проектов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Обновление не реже 1 раза в год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9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Итого по      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задаче 2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7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Задача 3. Популяризация предпринимательской деятельности       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3.1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8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Организация и проведение профессионального праздника «День предпринимательства»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согласованию), Совет представителей малого бизнеса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Чествование </w:t>
            </w:r>
            <w:proofErr w:type="gramStart"/>
            <w:r w:rsidRPr="004E45CD">
              <w:rPr>
                <w:sz w:val="24"/>
                <w:szCs w:val="24"/>
              </w:rPr>
              <w:t>лучших</w:t>
            </w:r>
            <w:proofErr w:type="gramEnd"/>
            <w:r w:rsidRPr="004E45CD">
              <w:rPr>
                <w:sz w:val="24"/>
                <w:szCs w:val="24"/>
              </w:rPr>
              <w:t xml:space="preserve"> МСП</w:t>
            </w:r>
          </w:p>
        </w:tc>
      </w:tr>
      <w:tr w:rsidR="00EC7847" w:rsidRPr="004E45CD" w:rsidTr="00075E08">
        <w:trPr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50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7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3.2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9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Публикации в средствах массовой информации материалов о малом и среднем бизнесе, о проводимых мероприятиях для </w:t>
            </w:r>
            <w:r w:rsidRPr="004E45CD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</w:t>
            </w:r>
            <w:r w:rsidRPr="004E45CD">
              <w:rPr>
                <w:sz w:val="24"/>
                <w:szCs w:val="24"/>
              </w:rPr>
              <w:lastRenderedPageBreak/>
              <w:t>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>Не менее 3 статей в год</w:t>
            </w:r>
          </w:p>
        </w:tc>
      </w:tr>
      <w:tr w:rsidR="00EC7847" w:rsidRPr="004E45CD" w:rsidTr="00075E08">
        <w:trPr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3.3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1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Размещение и обновление информации для малого и среднего предпринимательства на сайте Администрации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 (по мере необходимости)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Не менее 1 раза в год</w:t>
            </w:r>
          </w:p>
        </w:tc>
      </w:tr>
      <w:tr w:rsidR="00EC7847" w:rsidRPr="004E45CD" w:rsidTr="00075E08">
        <w:trPr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5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3.4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5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Проведение мониторинга тенденций развития малого бизнеса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 раз в год</w:t>
            </w:r>
          </w:p>
        </w:tc>
      </w:tr>
      <w:tr w:rsidR="00EC7847" w:rsidRPr="004E45CD" w:rsidTr="00075E08">
        <w:trPr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3.5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1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Привлечение населения и предпринимателей для участия в ярмарках, ярмарках «выходного дня», выставках, конкурсах, чемпионатах, семинарах, конференциях районного и областного уровней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Не менее 3 мероприятий в год</w:t>
            </w:r>
          </w:p>
        </w:tc>
      </w:tr>
      <w:tr w:rsidR="00EC7847" w:rsidRPr="004E45CD" w:rsidTr="00075E08">
        <w:trPr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39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Обеспечение участия учащихся школ </w:t>
            </w:r>
            <w:r w:rsidRPr="004E45CD">
              <w:rPr>
                <w:sz w:val="24"/>
                <w:szCs w:val="24"/>
              </w:rPr>
              <w:lastRenderedPageBreak/>
              <w:t>и молодежи в районных, областных мероприятиях,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lastRenderedPageBreak/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согласованию),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 МКОУ «</w:t>
            </w:r>
            <w:proofErr w:type="spellStart"/>
            <w:r w:rsidRPr="004E45CD">
              <w:rPr>
                <w:sz w:val="24"/>
                <w:szCs w:val="24"/>
              </w:rPr>
              <w:t>Вавиловская</w:t>
            </w:r>
            <w:proofErr w:type="spellEnd"/>
            <w:r w:rsidRPr="004E45CD">
              <w:rPr>
                <w:sz w:val="24"/>
                <w:szCs w:val="24"/>
              </w:rPr>
              <w:t xml:space="preserve"> СОШ»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lastRenderedPageBreak/>
              <w:t>Популяризаци</w:t>
            </w:r>
            <w:r w:rsidRPr="004E45CD">
              <w:rPr>
                <w:sz w:val="24"/>
                <w:szCs w:val="24"/>
              </w:rPr>
              <w:lastRenderedPageBreak/>
              <w:t xml:space="preserve">я предпринимательской деятельности </w:t>
            </w:r>
          </w:p>
        </w:tc>
      </w:tr>
      <w:tr w:rsidR="00EC7847" w:rsidRPr="004E45CD" w:rsidTr="00075E08">
        <w:trPr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35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3.7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Проведение районного конкурса среди предпринимателей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«Лидеры предпринимательства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45CD">
              <w:rPr>
                <w:sz w:val="24"/>
                <w:szCs w:val="24"/>
              </w:rPr>
              <w:t>Бакчарского</w:t>
            </w:r>
            <w:proofErr w:type="spellEnd"/>
            <w:r w:rsidRPr="004E45CD">
              <w:rPr>
                <w:sz w:val="24"/>
                <w:szCs w:val="24"/>
              </w:rPr>
              <w:t xml:space="preserve"> района,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НП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Популяризация предпринимательской деятельности </w:t>
            </w: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Итого по 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задаче 3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45,0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rHeight w:val="25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Итого по муниципальной программе</w:t>
            </w:r>
          </w:p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525,0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465,0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E45CD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70,0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95,0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85,0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70,0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70,0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125,0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847" w:rsidRPr="004E45CD" w:rsidTr="00075E08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95,0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85,0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47" w:rsidRPr="004E45CD" w:rsidRDefault="00EC7847" w:rsidP="00075E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C7847" w:rsidRPr="001E7FFC" w:rsidRDefault="004E1CAF" w:rsidP="003968E7">
      <w:pPr>
        <w:rPr>
          <w:sz w:val="24"/>
          <w:szCs w:val="24"/>
        </w:rPr>
      </w:pPr>
      <w:r w:rsidRPr="004E45CD">
        <w:rPr>
          <w:sz w:val="24"/>
          <w:szCs w:val="24"/>
        </w:rPr>
        <w:t>»</w:t>
      </w:r>
    </w:p>
    <w:sectPr w:rsidR="00EC7847" w:rsidRPr="001E7FFC" w:rsidSect="003968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66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9E0DE8"/>
    <w:multiLevelType w:val="hybridMultilevel"/>
    <w:tmpl w:val="6BD680C4"/>
    <w:lvl w:ilvl="0" w:tplc="50E0F43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137CB"/>
    <w:multiLevelType w:val="singleLevel"/>
    <w:tmpl w:val="701A01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AE0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C80D46"/>
    <w:multiLevelType w:val="hybridMultilevel"/>
    <w:tmpl w:val="F72AD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906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7A4EB7"/>
    <w:multiLevelType w:val="hybridMultilevel"/>
    <w:tmpl w:val="1E66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6F0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C45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37094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B96DD6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677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FC4A3C"/>
    <w:multiLevelType w:val="singleLevel"/>
    <w:tmpl w:val="68D65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710121"/>
    <w:multiLevelType w:val="hybridMultilevel"/>
    <w:tmpl w:val="133AE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174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7614E9"/>
    <w:multiLevelType w:val="singleLevel"/>
    <w:tmpl w:val="DD62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F5C25AF"/>
    <w:multiLevelType w:val="hybridMultilevel"/>
    <w:tmpl w:val="9208EA60"/>
    <w:lvl w:ilvl="0" w:tplc="76006E4A">
      <w:start w:val="1"/>
      <w:numFmt w:val="decimal"/>
      <w:lvlText w:val="%1."/>
      <w:lvlJc w:val="left"/>
      <w:pPr>
        <w:tabs>
          <w:tab w:val="num" w:pos="177"/>
        </w:tabs>
        <w:ind w:left="-180" w:firstLine="360"/>
      </w:pPr>
      <w:rPr>
        <w:rFonts w:hint="default"/>
        <w:effect w:val="shimme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BD05B2"/>
    <w:multiLevelType w:val="hybridMultilevel"/>
    <w:tmpl w:val="3EC0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F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FC25C8"/>
    <w:multiLevelType w:val="hybridMultilevel"/>
    <w:tmpl w:val="B77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E16E6D"/>
    <w:multiLevelType w:val="singleLevel"/>
    <w:tmpl w:val="402A09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4A5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8820E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8CE5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6E1074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F2D4116"/>
    <w:multiLevelType w:val="singleLevel"/>
    <w:tmpl w:val="3F32B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8"/>
  </w:num>
  <w:num w:numId="9">
    <w:abstractNumId w:val="9"/>
  </w:num>
  <w:num w:numId="10">
    <w:abstractNumId w:val="10"/>
  </w:num>
  <w:num w:numId="11">
    <w:abstractNumId w:val="1"/>
  </w:num>
  <w:num w:numId="12">
    <w:abstractNumId w:val="28"/>
  </w:num>
  <w:num w:numId="13">
    <w:abstractNumId w:val="23"/>
  </w:num>
  <w:num w:numId="14">
    <w:abstractNumId w:val="6"/>
  </w:num>
  <w:num w:numId="15">
    <w:abstractNumId w:val="11"/>
  </w:num>
  <w:num w:numId="16">
    <w:abstractNumId w:val="12"/>
  </w:num>
  <w:num w:numId="17">
    <w:abstractNumId w:val="27"/>
  </w:num>
  <w:num w:numId="18">
    <w:abstractNumId w:val="25"/>
  </w:num>
  <w:num w:numId="19">
    <w:abstractNumId w:val="3"/>
  </w:num>
  <w:num w:numId="20">
    <w:abstractNumId w:val="8"/>
  </w:num>
  <w:num w:numId="21">
    <w:abstractNumId w:val="14"/>
  </w:num>
  <w:num w:numId="22">
    <w:abstractNumId w:val="19"/>
  </w:num>
  <w:num w:numId="23">
    <w:abstractNumId w:val="22"/>
  </w:num>
  <w:num w:numId="24">
    <w:abstractNumId w:val="16"/>
  </w:num>
  <w:num w:numId="25">
    <w:abstractNumId w:val="20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6C"/>
    <w:rsid w:val="0002286A"/>
    <w:rsid w:val="0004426C"/>
    <w:rsid w:val="000561D2"/>
    <w:rsid w:val="00075E08"/>
    <w:rsid w:val="000821E4"/>
    <w:rsid w:val="000A1AAB"/>
    <w:rsid w:val="000A4260"/>
    <w:rsid w:val="001751D2"/>
    <w:rsid w:val="001D7F69"/>
    <w:rsid w:val="002601C1"/>
    <w:rsid w:val="00270C32"/>
    <w:rsid w:val="002A34F6"/>
    <w:rsid w:val="0032289D"/>
    <w:rsid w:val="00365A07"/>
    <w:rsid w:val="00365F84"/>
    <w:rsid w:val="003725CD"/>
    <w:rsid w:val="003968E7"/>
    <w:rsid w:val="003A1159"/>
    <w:rsid w:val="003C77F6"/>
    <w:rsid w:val="003F450D"/>
    <w:rsid w:val="00414E9F"/>
    <w:rsid w:val="004C50A3"/>
    <w:rsid w:val="004E1CAF"/>
    <w:rsid w:val="004E45CD"/>
    <w:rsid w:val="00546C22"/>
    <w:rsid w:val="0055797B"/>
    <w:rsid w:val="005C7336"/>
    <w:rsid w:val="005F7860"/>
    <w:rsid w:val="00615EDB"/>
    <w:rsid w:val="00623DC5"/>
    <w:rsid w:val="0064160E"/>
    <w:rsid w:val="006634C4"/>
    <w:rsid w:val="00711CD0"/>
    <w:rsid w:val="00736446"/>
    <w:rsid w:val="0077460E"/>
    <w:rsid w:val="007971C5"/>
    <w:rsid w:val="0080263B"/>
    <w:rsid w:val="008105BD"/>
    <w:rsid w:val="0085779C"/>
    <w:rsid w:val="008602E1"/>
    <w:rsid w:val="00875F42"/>
    <w:rsid w:val="008923CF"/>
    <w:rsid w:val="0089251B"/>
    <w:rsid w:val="008E1345"/>
    <w:rsid w:val="00915BB6"/>
    <w:rsid w:val="009922C4"/>
    <w:rsid w:val="009B461D"/>
    <w:rsid w:val="00A54788"/>
    <w:rsid w:val="00AA328B"/>
    <w:rsid w:val="00AD0567"/>
    <w:rsid w:val="00AF1300"/>
    <w:rsid w:val="00B25BC4"/>
    <w:rsid w:val="00B45533"/>
    <w:rsid w:val="00B93B81"/>
    <w:rsid w:val="00BD1810"/>
    <w:rsid w:val="00C850E2"/>
    <w:rsid w:val="00D971FB"/>
    <w:rsid w:val="00DA6B6F"/>
    <w:rsid w:val="00DE439B"/>
    <w:rsid w:val="00E026DF"/>
    <w:rsid w:val="00EC7847"/>
    <w:rsid w:val="00EF703E"/>
    <w:rsid w:val="00F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EC784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C784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C78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C7847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EC7847"/>
    <w:pPr>
      <w:keepNext/>
      <w:numPr>
        <w:ilvl w:val="5"/>
        <w:numId w:val="30"/>
      </w:numPr>
      <w:suppressAutoHyphens/>
      <w:spacing w:line="288" w:lineRule="auto"/>
      <w:jc w:val="both"/>
      <w:outlineLvl w:val="5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C78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7847"/>
    <w:rPr>
      <w:sz w:val="24"/>
    </w:rPr>
  </w:style>
  <w:style w:type="character" w:customStyle="1" w:styleId="20">
    <w:name w:val="Заголовок 2 Знак"/>
    <w:basedOn w:val="a0"/>
    <w:link w:val="2"/>
    <w:rsid w:val="00EC7847"/>
    <w:rPr>
      <w:sz w:val="24"/>
    </w:rPr>
  </w:style>
  <w:style w:type="character" w:customStyle="1" w:styleId="30">
    <w:name w:val="Заголовок 3 Знак"/>
    <w:basedOn w:val="a0"/>
    <w:link w:val="3"/>
    <w:rsid w:val="00EC7847"/>
    <w:rPr>
      <w:b/>
      <w:sz w:val="28"/>
    </w:rPr>
  </w:style>
  <w:style w:type="character" w:customStyle="1" w:styleId="40">
    <w:name w:val="Заголовок 4 Знак"/>
    <w:basedOn w:val="a0"/>
    <w:link w:val="4"/>
    <w:rsid w:val="00EC7847"/>
    <w:rPr>
      <w:sz w:val="24"/>
    </w:rPr>
  </w:style>
  <w:style w:type="character" w:customStyle="1" w:styleId="60">
    <w:name w:val="Заголовок 6 Знак"/>
    <w:basedOn w:val="a0"/>
    <w:link w:val="6"/>
    <w:rsid w:val="00EC7847"/>
    <w:rPr>
      <w:sz w:val="26"/>
      <w:lang w:eastAsia="ar-SA"/>
    </w:rPr>
  </w:style>
  <w:style w:type="paragraph" w:customStyle="1" w:styleId="a4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rsid w:val="00EC7847"/>
    <w:rPr>
      <w:sz w:val="24"/>
    </w:rPr>
  </w:style>
  <w:style w:type="character" w:customStyle="1" w:styleId="a6">
    <w:name w:val="Основной текст Знак"/>
    <w:basedOn w:val="a0"/>
    <w:link w:val="a5"/>
    <w:rsid w:val="00EC7847"/>
    <w:rPr>
      <w:sz w:val="24"/>
    </w:rPr>
  </w:style>
  <w:style w:type="paragraph" w:styleId="a7">
    <w:name w:val="Title"/>
    <w:basedOn w:val="a"/>
    <w:link w:val="a8"/>
    <w:qFormat/>
    <w:rsid w:val="00EC7847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EC7847"/>
    <w:rPr>
      <w:b/>
      <w:sz w:val="32"/>
    </w:rPr>
  </w:style>
  <w:style w:type="table" w:styleId="a9">
    <w:name w:val="Table Grid"/>
    <w:basedOn w:val="a1"/>
    <w:rsid w:val="00EC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EC7847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EC7847"/>
    <w:rPr>
      <w:rFonts w:ascii="Calibri" w:hAnsi="Calibri"/>
      <w:sz w:val="22"/>
      <w:szCs w:val="22"/>
      <w:lang w:val="ru-RU" w:eastAsia="ru-RU" w:bidi="ar-SA"/>
    </w:rPr>
  </w:style>
  <w:style w:type="paragraph" w:styleId="ac">
    <w:name w:val="No Spacing"/>
    <w:link w:val="ab"/>
    <w:qFormat/>
    <w:rsid w:val="00EC784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C7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EC7847"/>
    <w:pPr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C7847"/>
    <w:rPr>
      <w:sz w:val="28"/>
    </w:rPr>
  </w:style>
  <w:style w:type="paragraph" w:styleId="af">
    <w:name w:val="Plain Text"/>
    <w:basedOn w:val="a"/>
    <w:link w:val="af0"/>
    <w:rsid w:val="00EC7847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EC7847"/>
    <w:rPr>
      <w:rFonts w:ascii="Courier New" w:hAnsi="Courier New"/>
    </w:rPr>
  </w:style>
  <w:style w:type="paragraph" w:customStyle="1" w:styleId="Report">
    <w:name w:val="Report"/>
    <w:basedOn w:val="a"/>
    <w:rsid w:val="00EC7847"/>
    <w:pPr>
      <w:spacing w:line="360" w:lineRule="auto"/>
      <w:ind w:firstLine="567"/>
      <w:jc w:val="both"/>
    </w:pPr>
    <w:rPr>
      <w:sz w:val="24"/>
    </w:rPr>
  </w:style>
  <w:style w:type="paragraph" w:customStyle="1" w:styleId="ReportTab">
    <w:name w:val="Report_Tab"/>
    <w:basedOn w:val="a"/>
    <w:rsid w:val="00EC7847"/>
    <w:rPr>
      <w:sz w:val="24"/>
    </w:rPr>
  </w:style>
  <w:style w:type="paragraph" w:customStyle="1" w:styleId="af1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"/>
    <w:rsid w:val="00EC7847"/>
    <w:pPr>
      <w:suppressAutoHyphens/>
      <w:ind w:firstLine="720"/>
      <w:jc w:val="both"/>
    </w:pPr>
    <w:rPr>
      <w:sz w:val="26"/>
      <w:lang w:eastAsia="ar-SA"/>
    </w:rPr>
  </w:style>
  <w:style w:type="paragraph" w:customStyle="1" w:styleId="22">
    <w:name w:val="Стиль2"/>
    <w:basedOn w:val="a"/>
    <w:rsid w:val="00EC7847"/>
    <w:pPr>
      <w:tabs>
        <w:tab w:val="num" w:pos="360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ConsPlusTitle">
    <w:name w:val="ConsPlusTitle"/>
    <w:rsid w:val="00EC784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styleId="af2">
    <w:name w:val="Strong"/>
    <w:basedOn w:val="a0"/>
    <w:qFormat/>
    <w:rsid w:val="00EC7847"/>
    <w:rPr>
      <w:b/>
      <w:bCs/>
    </w:rPr>
  </w:style>
  <w:style w:type="paragraph" w:customStyle="1" w:styleId="11">
    <w:name w:val="Знак1 Знак Знак Знак Знак Знак Знак Знак Знак Знак"/>
    <w:basedOn w:val="a"/>
    <w:rsid w:val="00EC7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EC784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qFormat/>
    <w:rsid w:val="00EC7847"/>
    <w:rPr>
      <w:i/>
      <w:iCs/>
    </w:rPr>
  </w:style>
  <w:style w:type="paragraph" w:styleId="af5">
    <w:name w:val="endnote text"/>
    <w:basedOn w:val="a"/>
    <w:link w:val="af6"/>
    <w:rsid w:val="00EC7847"/>
  </w:style>
  <w:style w:type="character" w:customStyle="1" w:styleId="af6">
    <w:name w:val="Текст концевой сноски Знак"/>
    <w:basedOn w:val="a0"/>
    <w:link w:val="af5"/>
    <w:rsid w:val="00EC7847"/>
  </w:style>
  <w:style w:type="character" w:styleId="af7">
    <w:name w:val="endnote reference"/>
    <w:basedOn w:val="a0"/>
    <w:rsid w:val="00EC7847"/>
    <w:rPr>
      <w:vertAlign w:val="superscript"/>
    </w:rPr>
  </w:style>
  <w:style w:type="paragraph" w:styleId="af8">
    <w:name w:val="footnote text"/>
    <w:basedOn w:val="a"/>
    <w:link w:val="af9"/>
    <w:rsid w:val="00EC7847"/>
  </w:style>
  <w:style w:type="character" w:customStyle="1" w:styleId="af9">
    <w:name w:val="Текст сноски Знак"/>
    <w:basedOn w:val="a0"/>
    <w:link w:val="af8"/>
    <w:rsid w:val="00EC7847"/>
  </w:style>
  <w:style w:type="character" w:styleId="afa">
    <w:name w:val="footnote reference"/>
    <w:basedOn w:val="a0"/>
    <w:rsid w:val="00EC7847"/>
    <w:rPr>
      <w:vertAlign w:val="superscript"/>
    </w:rPr>
  </w:style>
  <w:style w:type="paragraph" w:customStyle="1" w:styleId="12">
    <w:name w:val="Абзац списка1"/>
    <w:basedOn w:val="a"/>
    <w:rsid w:val="00EC7847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A7FB2C0E597FF41AA0153EDC62F5599D4DB42553C11FFEACC8BF9862C3890FC9430BBDB202F037D888C854DIBg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A7FB2C0E597FF41AA0153EDC62F5599D4DB42553C11FFEACC8BF9862C3890FC9430BBDB202F037D888C854DIBg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7FB2C0E597FF41AA0153EDC62F5599D4DB42553C11FFEACC8BF9862C3890FC9430BBDB202F037D888C854DIBgE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A7FB2C0E597FF41AA0153EDC62F5599D4DB42553C11FFEACC8BF9862C3890FC9430BBDB202F037D888C854DIBg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52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13</cp:revision>
  <cp:lastPrinted>2009-04-20T09:03:00Z</cp:lastPrinted>
  <dcterms:created xsi:type="dcterms:W3CDTF">2021-11-12T04:57:00Z</dcterms:created>
  <dcterms:modified xsi:type="dcterms:W3CDTF">2021-12-03T07:48:00Z</dcterms:modified>
</cp:coreProperties>
</file>